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F0" w:rsidRPr="002D758A" w:rsidRDefault="00DD595E">
      <w:pPr>
        <w:spacing w:after="0"/>
        <w:ind w:left="-238" w:right="14142"/>
        <w:rPr>
          <w:rFonts w:ascii="Times New Roman" w:hAnsi="Times New Roman" w:cs="Times New Roman"/>
        </w:rPr>
      </w:pPr>
      <w:r w:rsidRPr="002D758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499"/>
                <wp:effectExtent l="0" t="0" r="19050" b="635"/>
                <wp:wrapTopAndBottom/>
                <wp:docPr id="3389" name="Group 3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43499"/>
                          <a:chOff x="0" y="0"/>
                          <a:chExt cx="9144000" cy="5143499"/>
                        </a:xfrm>
                      </wpg:grpSpPr>
                      <wps:wsp>
                        <wps:cNvPr id="4475" name="Shape 4475"/>
                        <wps:cNvSpPr/>
                        <wps:spPr>
                          <a:xfrm>
                            <a:off x="0" y="0"/>
                            <a:ext cx="9144000" cy="514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14349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143499"/>
                                </a:lnTo>
                                <a:lnTo>
                                  <a:pt x="0" y="5143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0" y="0"/>
                            <a:ext cx="1478280" cy="79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0" h="797052">
                                <a:moveTo>
                                  <a:pt x="0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78280" y="797052"/>
                                </a:lnTo>
                                <a:lnTo>
                                  <a:pt x="0" y="797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771644"/>
                            <a:ext cx="914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01624"/>
                            <a:ext cx="914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5081" y="1895333"/>
                            <a:ext cx="8915731" cy="1385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D56" w:rsidRPr="006B7777" w:rsidRDefault="002D758A" w:rsidP="007862F7">
                              <w:pPr>
                                <w:spacing w:after="0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</w:pPr>
                              <w:r w:rsidRPr="006B7777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 xml:space="preserve">Реализация </w:t>
                              </w:r>
                              <w:r w:rsidR="007862F7" w:rsidRPr="007862F7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>646 обыкновенных акций, что составляет 1</w:t>
                              </w:r>
                              <w:r w:rsidR="007862F7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 xml:space="preserve">9,1748 % от уставного капитала </w:t>
                              </w:r>
                              <w:r w:rsidR="007862F7" w:rsidRPr="007862F7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>ОАО «Славянскгоргаз»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89" o:spid="_x0000_s1026" style="position:absolute;left:0;text-align:left;margin-left:0;margin-top:0;width:10in;height:405pt;z-index:251658240;mso-position-horizontal-relative:page;mso-position-vertical-relative:page" coordsize="91440,5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tC8AMAAN8RAAAOAAAAZHJzL2Uyb0RvYy54bWzsWG1v4zYM/j5g/8Hw9zV27LyiyWHorcWA&#10;YXe4lx+g2HJsQJYMSU3S/fqRlOQ4bW9dcrjDYas/2LREUSSlh6R0/ebQimjHtWmUXMXpVRJHXBaq&#10;bOR2FX/+dPvLPI6MZbJkQkm+ih+4id+sf/7pet8t+VjVSpRcRyBEmuW+W8W1td1yNDJFzVtmrlTH&#10;JXRWSrfMwq/ejkrN9iC9FaNxkkxHe6XLTquCGwOtb11nvCb5VcUL+66qDLeRWMWgm6W3pvcG36P1&#10;NVtuNevqpvBqsAu0aFkjYdJe1FtmWXSvmyei2qbQyqjKXhWqHamqagpONoA1afLImjut7juyZbvc&#10;b7veTeDaR366WGzx5+69jppyFWfZfBFHkrWwSjRxRC3goH23XQLfne4+du+1b9i6P7T5UOkWv2BN&#10;dCDXPvSu5QcbFdC4SPM8SWAFCuibpHmWLxbO+UUNK/RkXFH/9sLIUZh4hPr16uw72Ejm6Cvzdb76&#10;WLOO0xIY9IH3VZ7PJsFXxBFRC7mG+HpHmaUBn32tl3pb2bK4N/aOK3I42/1hrNvBZaBYHajiIAOp&#10;AQf/iICOWRyHeiIZ7QcrVh8XDPtbteOfFHHaR8sGah57hRxy9esftgbwBo7w7UjekHOwUb7ID3vq&#10;dEu9wEmY73mAQIPX154gJwA9dLOQ6A/cuwwiVCWYJai3jYXQJZoW4t54hpsbloIEwwe3oVt5ouyD&#10;4OgyIT/wCuBGMMEGo7ebG6GjHcMARQ8JZ6KrmW/1cj2rnwPk4PiqEaIXmdLQRyJni5uxl+CZcRyn&#10;2NiPTNzIwmvjAiSEGTA6hEmwrB9EMytp+/ESgjtNMrAWyY0qHyhkkEMAlxhNvg9Ap08AOkUNcXoA&#10;8oUATfPZfDz3YWy2mCWT4NsQBIcb55vis1cF8Ok1wWU5AtDBycEj7M1j7ynoemEvwnPIeeKAIDB8&#10;h9P/a8agpxPiMfkKTlxY858BZ19muNRJdcCZsMxns3Sa5whoCEvPVQphJ313XIb8dTkYgwTMa8GM&#10;cwGRTsb5k4wF5aQsz0pSz2SUW3p8RqF8hpae5CGfTS5Lbf+fJJWmpykK/s9PUPMknY5fgYC167Nl&#10;2ysQXJ34I1dr6TgA4QMcVJjcCh5B2zlgSLNJMgc8QchM54tJlmWnuWG+SCezDBjw/Jlm88kYuF0o&#10;DBmi0+5kFSGxivHM5Epxf8rCasSzYMQTEt9S3UIF/sWYag+bgzfDlcJRrfRf7+DCpBIKDhVwliIq&#10;xjsUmBR740j8LuHYCuHbBkIHYhMIbcWNoksNp8av91ZVDZ4GqdR2s/kfqrvpmAy3CIQTf+OB1xTD&#10;f+I/3sus/wYAAP//AwBQSwMEFAAGAAgAAAAhAI/vzfXbAAAABgEAAA8AAABkcnMvZG93bnJldi54&#10;bWxMj0FLw0AQhe+C/2EZwZvdRKuUmE0pRT0VwVYQb9PsNAnNzobsNkn/vVMvehnm8YY338uXk2vV&#10;QH1oPBtIZwko4tLbhisDn7vXuwWoEJEttp7JwJkCLIvrqxwz60f+oGEbKyUhHDI0UMfYZVqHsiaH&#10;YeY7YvEOvncYRfaVtj2OEu5afZ8kT9phw/Khxo7WNZXH7ckZeBtxXD2kL8PmeFifv3eP71+blIy5&#10;vZlWz6AiTfHvGC74gg6FMO39iW1QrQEpEn/nxZvPE9F7A4tUFl3k+j9+8QMAAP//AwBQSwECLQAU&#10;AAYACAAAACEAtoM4kv4AAADhAQAAEwAAAAAAAAAAAAAAAAAAAAAAW0NvbnRlbnRfVHlwZXNdLnht&#10;bFBLAQItABQABgAIAAAAIQA4/SH/1gAAAJQBAAALAAAAAAAAAAAAAAAAAC8BAABfcmVscy8ucmVs&#10;c1BLAQItABQABgAIAAAAIQBaPitC8AMAAN8RAAAOAAAAAAAAAAAAAAAAAC4CAABkcnMvZTJvRG9j&#10;LnhtbFBLAQItABQABgAIAAAAIQCP78312wAAAAYBAAAPAAAAAAAAAAAAAAAAAEoGAABkcnMvZG93&#10;bnJldi54bWxQSwUGAAAAAAQABADzAAAAUgcAAAAA&#10;">
                <v:shape id="Shape 4475" o:spid="_x0000_s1027" style="position:absolute;width:91440;height:51434;visibility:visible;mso-wrap-style:square;v-text-anchor:top" coordsize="9144000,5143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gOxwAAAN0AAAAPAAAAZHJzL2Rvd25yZXYueG1sRI9BawIx&#10;FITvgv8hvEIvUrMr2patUUqp0EMpalv0+Nw8N4ublyWJuv57UxB6HGbmG2Y672wjTuRD7VhBPsxA&#10;EJdO11wp+PlePDyDCBFZY+OYFFwowHzW702x0O7MKzqtYyUShEOBCkyMbSFlKA1ZDEPXEidv77zF&#10;mKSvpPZ4TnDbyFGWPUqLNacFgy29GSoP66NVsNuazfvOLX9H2udylTefX/tBqdT9Xff6AiJSF//D&#10;t/aHVjAeP03g7016AnJ2BQAA//8DAFBLAQItABQABgAIAAAAIQDb4fbL7gAAAIUBAAATAAAAAAAA&#10;AAAAAAAAAAAAAABbQ29udGVudF9UeXBlc10ueG1sUEsBAi0AFAAGAAgAAAAhAFr0LFu/AAAAFQEA&#10;AAsAAAAAAAAAAAAAAAAAHwEAAF9yZWxzLy5yZWxzUEsBAi0AFAAGAAgAAAAhAI2tyA7HAAAA3QAA&#10;AA8AAAAAAAAAAAAAAAAABwIAAGRycy9kb3ducmV2LnhtbFBLBQYAAAAAAwADALcAAAD7AgAAAAA=&#10;" path="m,l9144000,r,5143499l,5143499,,e" fillcolor="#0079c2" stroked="f" strokeweight="0">
                  <v:stroke miterlimit="83231f" joinstyle="miter"/>
                  <v:path arrowok="t" textboxrect="0,0,9144000,5143499"/>
                </v:shape>
                <v:shape id="Shape 4476" o:spid="_x0000_s1028" style="position:absolute;width:14782;height:7970;visibility:visible;mso-wrap-style:square;v-text-anchor:top" coordsize="1478280,79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R4xgAAAN0AAAAPAAAAZHJzL2Rvd25yZXYueG1sRI9BSwMx&#10;FITvQv9DeIKX0maVUsvatJSC0JO4Wws9PpLn7uLmZUlidvXXG0HwOMzMN8x2P9leJPKhc6zgflmA&#10;INbOdNwoeDs/LzYgQkQ22DsmBV8UYL+b3WyxNG7kilIdG5EhHEpU0MY4lFIG3ZLFsHQDcfbenbcY&#10;s/SNNB7HDLe9fCiKtbTYcV5ocaBjS/qj/rQKrinV38ZfxtNR6+o1jfNqXr0odXc7HZ5ARJrif/iv&#10;fTIKVqvHNfy+yU9A7n4AAAD//wMAUEsBAi0AFAAGAAgAAAAhANvh9svuAAAAhQEAABMAAAAAAAAA&#10;AAAAAAAAAAAAAFtDb250ZW50X1R5cGVzXS54bWxQSwECLQAUAAYACAAAACEAWvQsW78AAAAVAQAA&#10;CwAAAAAAAAAAAAAAAAAfAQAAX3JlbHMvLnJlbHNQSwECLQAUAAYACAAAACEAGLmUeMYAAADdAAAA&#10;DwAAAAAAAAAAAAAAAAAHAgAAZHJzL2Rvd25yZXYueG1sUEsFBgAAAAADAAMAtwAAAPoCAAAAAA==&#10;" path="m,l1478280,r,797052l,797052,,e" fillcolor="#0079c2" stroked="f" strokeweight="0">
                  <v:stroke miterlimit="83231f" joinstyle="miter"/>
                  <v:path arrowok="t" textboxrect="0,0,1478280,797052"/>
                </v:shape>
                <v:shape id="Shape 9" o:spid="_x0000_s1029" style="position:absolute;top:47716;width:91440;height:0;visibility:visible;mso-wrap-style:square;v-text-anchor:top" coordsize="914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dcdxAAAANoAAAAPAAAAZHJzL2Rvd25yZXYueG1sRI9Ba8JA&#10;FITvhf6H5RW8FN3Ug63RVawgam5NBfX2yL5mQ7NvY3bV+O9dodDjMDPfMNN5Z2txodZXjhW8DRIQ&#10;xIXTFZcKdt+r/gcIH5A11o5JwY08zGfPT1NMtbvyF13yUIoIYZ+iAhNCk0rpC0MW/cA1xNH7ca3F&#10;EGVbSt3iNcJtLYdJMpIWK44LBhtaGip+87NVoI+v2+yQ21WRnd41fy72Jjuuleq9dIsJiEBd+A//&#10;tTdawRgeV+INkLM7AAAA//8DAFBLAQItABQABgAIAAAAIQDb4fbL7gAAAIUBAAATAAAAAAAAAAAA&#10;AAAAAAAAAABbQ29udGVudF9UeXBlc10ueG1sUEsBAi0AFAAGAAgAAAAhAFr0LFu/AAAAFQEAAAsA&#10;AAAAAAAAAAAAAAAAHwEAAF9yZWxzLy5yZWxzUEsBAi0AFAAGAAgAAAAhAMid1x3EAAAA2gAAAA8A&#10;AAAAAAAAAAAAAAAABwIAAGRycy9kb3ducmV2LnhtbFBLBQYAAAAAAwADALcAAAD4AgAAAAA=&#10;" path="m,l9144000,e" filled="f" strokecolor="white" strokeweight="1.2pt">
                  <v:path arrowok="t" textboxrect="0,0,9144000,0"/>
                </v:shape>
                <v:shape id="Shape 11" o:spid="_x0000_s1030" style="position:absolute;top:8016;width:91440;height:0;visibility:visible;mso-wrap-style:square;v-text-anchor:top" coordsize="914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/WwgAAANsAAAAPAAAAZHJzL2Rvd25yZXYueG1sRE9Na8JA&#10;EL0X/A/LCF6KbvRgJbqKCtKam6mg3obsmA1mZ9PsVtN/3xUKvc3jfc5i1dla3Kn1lWMF41ECgrhw&#10;uuJSwfFzN5yB8AFZY+2YFPyQh9Wy97LAVLsHH+ieh1LEEPYpKjAhNKmUvjBk0Y9cQxy5q2sthgjb&#10;UuoWHzHc1nKSJFNpseLYYLChraHiln9bBfryus/Oud0V2deb5s36ZLLLu1KDfreegwjUhX/xn/tD&#10;x/ljeP4SD5DLXwAAAP//AwBQSwECLQAUAAYACAAAACEA2+H2y+4AAACFAQAAEwAAAAAAAAAAAAAA&#10;AAAAAAAAW0NvbnRlbnRfVHlwZXNdLnhtbFBLAQItABQABgAIAAAAIQBa9CxbvwAAABUBAAALAAAA&#10;AAAAAAAAAAAAAB8BAABfcmVscy8ucmVsc1BLAQItABQABgAIAAAAIQCumj/WwgAAANsAAAAPAAAA&#10;AAAAAAAAAAAAAAcCAABkcnMvZG93bnJldi54bWxQSwUGAAAAAAMAAwC3AAAA9gIAAAAA&#10;" path="m,l9144000,e" filled="f" strokecolor="white" strokeweight="1.2pt">
                  <v:path arrowok="t" textboxrect="0,0,9144000,0"/>
                </v:shape>
                <v:rect id="Rectangle 12" o:spid="_x0000_s1031" style="position:absolute;left:1350;top:18953;width:89158;height:1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73D56" w:rsidRPr="006B7777" w:rsidRDefault="002D758A" w:rsidP="007862F7">
                        <w:pPr>
                          <w:spacing w:after="0"/>
                          <w:jc w:val="center"/>
                          <w:rPr>
                            <w:rFonts w:ascii="Arial" w:eastAsia="Arial" w:hAnsi="Arial" w:cs="Arial"/>
                            <w:b/>
                            <w:color w:val="FFFFFF"/>
                            <w:sz w:val="48"/>
                            <w:szCs w:val="48"/>
                          </w:rPr>
                        </w:pPr>
                        <w:r w:rsidRPr="006B7777">
                          <w:rPr>
                            <w:rFonts w:ascii="Arial" w:eastAsia="Arial" w:hAnsi="Arial" w:cs="Arial"/>
                            <w:b/>
                            <w:color w:val="FFFFFF"/>
                            <w:sz w:val="48"/>
                            <w:szCs w:val="48"/>
                          </w:rPr>
                          <w:t xml:space="preserve">Реализация </w:t>
                        </w:r>
                        <w:r w:rsidR="007862F7" w:rsidRPr="007862F7">
                          <w:rPr>
                            <w:rFonts w:ascii="Arial" w:eastAsia="Arial" w:hAnsi="Arial" w:cs="Arial"/>
                            <w:b/>
                            <w:color w:val="FFFFFF"/>
                            <w:sz w:val="48"/>
                            <w:szCs w:val="48"/>
                          </w:rPr>
                          <w:t>646 обыкновенных акций, что составляет 1</w:t>
                        </w:r>
                        <w:r w:rsidR="007862F7">
                          <w:rPr>
                            <w:rFonts w:ascii="Arial" w:eastAsia="Arial" w:hAnsi="Arial" w:cs="Arial"/>
                            <w:b/>
                            <w:color w:val="FFFFFF"/>
                            <w:sz w:val="48"/>
                            <w:szCs w:val="48"/>
                          </w:rPr>
                          <w:t xml:space="preserve">9,1748 % от уставного капитала </w:t>
                        </w:r>
                        <w:r w:rsidR="007862F7" w:rsidRPr="007862F7">
                          <w:rPr>
                            <w:rFonts w:ascii="Arial" w:eastAsia="Arial" w:hAnsi="Arial" w:cs="Arial"/>
                            <w:b/>
                            <w:color w:val="FFFFFF"/>
                            <w:sz w:val="48"/>
                            <w:szCs w:val="48"/>
                          </w:rPr>
                          <w:t>ОАО «Славянскгоргаз»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2D758A">
        <w:rPr>
          <w:rFonts w:ascii="Times New Roman" w:hAnsi="Times New Roman" w:cs="Times New Roman"/>
        </w:rPr>
        <w:br w:type="page"/>
      </w:r>
    </w:p>
    <w:p w:rsidR="00253CF0" w:rsidRPr="00CC4792" w:rsidRDefault="00DD595E" w:rsidP="00B45E91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</w:rPr>
      </w:pPr>
      <w:r w:rsidRPr="00CC4792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lastRenderedPageBreak/>
        <w:t>Полное фирменное наименование организации:</w:t>
      </w:r>
    </w:p>
    <w:p w:rsidR="002D758A" w:rsidRPr="00CC4792" w:rsidRDefault="00B45E91" w:rsidP="00B45E91">
      <w:pPr>
        <w:spacing w:after="0" w:line="240" w:lineRule="auto"/>
        <w:jc w:val="both"/>
        <w:rPr>
          <w:rFonts w:ascii="Times New Roman" w:eastAsia="Arial" w:hAnsi="Times New Roman" w:cs="Times New Roman"/>
          <w:color w:val="1F3864" w:themeColor="accent5" w:themeShade="80"/>
          <w:sz w:val="32"/>
        </w:rPr>
      </w:pPr>
      <w:r w:rsidRPr="00B45E91">
        <w:rPr>
          <w:rFonts w:ascii="Times New Roman" w:eastAsia="Arial" w:hAnsi="Times New Roman" w:cs="Times New Roman"/>
          <w:color w:val="1F3864" w:themeColor="accent5" w:themeShade="80"/>
          <w:sz w:val="32"/>
        </w:rPr>
        <w:t>Открытое акционерное общество «</w:t>
      </w:r>
      <w:r w:rsidR="007862F7" w:rsidRP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>Славянскгоргаз</w:t>
      </w:r>
      <w:r w:rsidRPr="00B45E91">
        <w:rPr>
          <w:rFonts w:ascii="Times New Roman" w:eastAsia="Arial" w:hAnsi="Times New Roman" w:cs="Times New Roman"/>
          <w:color w:val="1F3864" w:themeColor="accent5" w:themeShade="80"/>
          <w:sz w:val="32"/>
        </w:rPr>
        <w:t>»</w:t>
      </w:r>
    </w:p>
    <w:p w:rsidR="00253CF0" w:rsidRPr="00CC4792" w:rsidRDefault="00DD595E" w:rsidP="00B45E91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</w:rPr>
      </w:pPr>
      <w:r w:rsidRPr="00CC4792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 xml:space="preserve">Сокращенное наименование организации: </w:t>
      </w:r>
      <w:r w:rsidR="002D758A" w:rsidRPr="00CC4792">
        <w:rPr>
          <w:rFonts w:ascii="Times New Roman" w:eastAsia="Arial" w:hAnsi="Times New Roman" w:cs="Times New Roman"/>
          <w:color w:val="1F3864" w:themeColor="accent5" w:themeShade="80"/>
          <w:sz w:val="32"/>
        </w:rPr>
        <w:t>АО «</w:t>
      </w:r>
      <w:r w:rsidR="007862F7" w:rsidRP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>Славянскгоргаз</w:t>
      </w:r>
      <w:r w:rsidR="002D758A" w:rsidRPr="00CC4792">
        <w:rPr>
          <w:rFonts w:ascii="Times New Roman" w:eastAsia="Arial" w:hAnsi="Times New Roman" w:cs="Times New Roman"/>
          <w:color w:val="1F3864" w:themeColor="accent5" w:themeShade="80"/>
          <w:sz w:val="32"/>
        </w:rPr>
        <w:t>»</w:t>
      </w:r>
      <w:r w:rsidR="003D2830" w:rsidRPr="00CC4792">
        <w:rPr>
          <w:rFonts w:ascii="Times New Roman" w:eastAsia="Arial" w:hAnsi="Times New Roman" w:cs="Times New Roman"/>
          <w:color w:val="1F3864" w:themeColor="accent5" w:themeShade="80"/>
          <w:sz w:val="32"/>
        </w:rPr>
        <w:t>.</w:t>
      </w:r>
    </w:p>
    <w:p w:rsidR="007862F7" w:rsidRDefault="00DD595E" w:rsidP="007862F7">
      <w:pPr>
        <w:spacing w:after="0" w:line="240" w:lineRule="auto"/>
        <w:jc w:val="both"/>
        <w:rPr>
          <w:rFonts w:ascii="Times New Roman" w:eastAsia="Arial" w:hAnsi="Times New Roman" w:cs="Times New Roman"/>
          <w:color w:val="1F3864" w:themeColor="accent5" w:themeShade="80"/>
          <w:sz w:val="32"/>
        </w:rPr>
      </w:pPr>
      <w:r w:rsidRPr="00CC4792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 xml:space="preserve">Юридический адрес организации: </w:t>
      </w:r>
      <w:r w:rsidR="007862F7" w:rsidRP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 xml:space="preserve">353566, Краснодарский край, р-н Славянский, </w:t>
      </w:r>
      <w:r w:rsid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br/>
      </w:r>
      <w:r w:rsidR="007862F7" w:rsidRP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>г. Славянск-</w:t>
      </w:r>
      <w:r w:rsid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 xml:space="preserve">на-Кубани, ул. Победы, </w:t>
      </w:r>
      <w:r w:rsidR="007862F7" w:rsidRP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>д. 320</w:t>
      </w:r>
      <w:r w:rsid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>.</w:t>
      </w:r>
    </w:p>
    <w:p w:rsidR="00253CF0" w:rsidRPr="007862F7" w:rsidRDefault="00DD595E" w:rsidP="007862F7">
      <w:pPr>
        <w:spacing w:after="0" w:line="240" w:lineRule="auto"/>
        <w:jc w:val="both"/>
        <w:rPr>
          <w:rFonts w:ascii="Times New Roman" w:eastAsia="Arial" w:hAnsi="Times New Roman" w:cs="Times New Roman"/>
          <w:color w:val="1F3864" w:themeColor="accent5" w:themeShade="80"/>
          <w:sz w:val="32"/>
        </w:rPr>
      </w:pPr>
      <w:r w:rsidRPr="00CC4792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 xml:space="preserve">Информация о регистрации организации: </w:t>
      </w:r>
      <w:r w:rsidRPr="0026306E">
        <w:rPr>
          <w:rFonts w:ascii="Times New Roman" w:eastAsia="Arial" w:hAnsi="Times New Roman" w:cs="Times New Roman"/>
          <w:color w:val="1F3864" w:themeColor="accent5" w:themeShade="80"/>
          <w:sz w:val="32"/>
        </w:rPr>
        <w:t xml:space="preserve">ОГРН </w:t>
      </w:r>
      <w:r w:rsidR="0026306E" w:rsidRPr="0026306E">
        <w:rPr>
          <w:rFonts w:ascii="Times New Roman" w:eastAsia="Arial" w:hAnsi="Times New Roman" w:cs="Times New Roman"/>
          <w:color w:val="1F3864" w:themeColor="accent5" w:themeShade="80"/>
          <w:sz w:val="32"/>
        </w:rPr>
        <w:t xml:space="preserve">1022304650488 </w:t>
      </w:r>
      <w:r w:rsidR="00130A45" w:rsidRPr="0026306E">
        <w:rPr>
          <w:rFonts w:ascii="Times New Roman" w:eastAsia="Arial" w:hAnsi="Times New Roman" w:cs="Times New Roman"/>
          <w:color w:val="1F3864" w:themeColor="accent5" w:themeShade="80"/>
          <w:sz w:val="32"/>
        </w:rPr>
        <w:t xml:space="preserve">от </w:t>
      </w:r>
      <w:r w:rsidR="00BD1342">
        <w:rPr>
          <w:rFonts w:ascii="Times New Roman" w:eastAsia="Arial" w:hAnsi="Times New Roman" w:cs="Times New Roman"/>
          <w:color w:val="1F3864" w:themeColor="accent5" w:themeShade="80"/>
          <w:sz w:val="32"/>
        </w:rPr>
        <w:t>17</w:t>
      </w:r>
      <w:r w:rsidR="0026306E" w:rsidRPr="0026306E">
        <w:rPr>
          <w:rFonts w:ascii="Times New Roman" w:eastAsia="Arial" w:hAnsi="Times New Roman" w:cs="Times New Roman"/>
          <w:color w:val="1F3864" w:themeColor="accent5" w:themeShade="80"/>
          <w:sz w:val="32"/>
        </w:rPr>
        <w:t>.11.1993</w:t>
      </w:r>
    </w:p>
    <w:p w:rsidR="007862F7" w:rsidRDefault="00DD595E" w:rsidP="00B45E91">
      <w:pPr>
        <w:spacing w:after="0" w:line="240" w:lineRule="auto"/>
        <w:jc w:val="both"/>
        <w:rPr>
          <w:rFonts w:ascii="Times New Roman" w:eastAsia="Arial" w:hAnsi="Times New Roman" w:cs="Times New Roman"/>
          <w:color w:val="1F3864" w:themeColor="accent5" w:themeShade="80"/>
          <w:sz w:val="32"/>
        </w:rPr>
      </w:pPr>
      <w:r w:rsidRPr="00CC4792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 xml:space="preserve">Уставный капитал: </w:t>
      </w:r>
      <w:r w:rsidR="007862F7" w:rsidRP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>7 748 (Семь тысяч семьсот сорок восемь) рублей 70 копеек</w:t>
      </w:r>
      <w:r w:rsidR="007862F7">
        <w:rPr>
          <w:rFonts w:ascii="Times New Roman" w:eastAsia="Arial" w:hAnsi="Times New Roman" w:cs="Times New Roman"/>
          <w:color w:val="1F3864" w:themeColor="accent5" w:themeShade="80"/>
          <w:sz w:val="32"/>
        </w:rPr>
        <w:t>.</w:t>
      </w:r>
    </w:p>
    <w:p w:rsidR="003D2830" w:rsidRDefault="00CC4792" w:rsidP="00B45E91">
      <w:pPr>
        <w:spacing w:after="0" w:line="240" w:lineRule="auto"/>
        <w:jc w:val="both"/>
        <w:rPr>
          <w:rFonts w:ascii="Times New Roman" w:eastAsia="Arial" w:hAnsi="Times New Roman" w:cs="Times New Roman"/>
          <w:color w:val="1F3864" w:themeColor="accent5" w:themeShade="80"/>
          <w:sz w:val="32"/>
          <w:szCs w:val="32"/>
        </w:rPr>
      </w:pPr>
      <w:r w:rsidRPr="00CC4792">
        <w:rPr>
          <w:rFonts w:ascii="Times New Roman" w:eastAsia="Arial" w:hAnsi="Times New Roman" w:cs="Times New Roman"/>
          <w:b/>
          <w:bCs/>
          <w:color w:val="1F3864" w:themeColor="accent5" w:themeShade="80"/>
          <w:sz w:val="32"/>
          <w:szCs w:val="32"/>
        </w:rPr>
        <w:t xml:space="preserve">Состав имущества: </w:t>
      </w:r>
      <w:r w:rsidRPr="000D752D">
        <w:rPr>
          <w:rFonts w:ascii="Times New Roman" w:eastAsia="Arial" w:hAnsi="Times New Roman" w:cs="Times New Roman"/>
          <w:color w:val="1F3864" w:themeColor="accent5" w:themeShade="80"/>
          <w:sz w:val="32"/>
          <w:szCs w:val="32"/>
        </w:rPr>
        <w:t>Здания, сооружения, машины и оборудование, офисное оборудование, транспортные средства, земельные участки, газопроводы и передаточные устройства, сжиженный углеводородный газ, топливо, инвентарь хозяйственный, спецодежда, газовые баллоны, материалы для автотранспорта и прочие материалы.</w:t>
      </w:r>
    </w:p>
    <w:p w:rsidR="00AD4B67" w:rsidRDefault="00AD4B67" w:rsidP="000D752D">
      <w:pPr>
        <w:spacing w:after="0" w:line="240" w:lineRule="atLeast"/>
        <w:ind w:right="403"/>
        <w:rPr>
          <w:rFonts w:ascii="Times New Roman" w:eastAsia="Arial" w:hAnsi="Times New Roman" w:cs="Times New Roman"/>
          <w:color w:val="1F3864" w:themeColor="accent5" w:themeShade="80"/>
          <w:sz w:val="32"/>
          <w:szCs w:val="32"/>
        </w:rPr>
      </w:pPr>
    </w:p>
    <w:p w:rsidR="00B45E91" w:rsidRDefault="00B45E91" w:rsidP="000D752D">
      <w:pPr>
        <w:spacing w:after="0" w:line="240" w:lineRule="atLeast"/>
        <w:ind w:right="403"/>
        <w:rPr>
          <w:rFonts w:ascii="Times New Roman" w:eastAsia="Arial" w:hAnsi="Times New Roman" w:cs="Times New Roman"/>
          <w:color w:val="1F3864" w:themeColor="accent5" w:themeShade="80"/>
          <w:sz w:val="32"/>
          <w:szCs w:val="32"/>
        </w:rPr>
      </w:pPr>
    </w:p>
    <w:p w:rsidR="007862F7" w:rsidRPr="000D752D" w:rsidRDefault="007862F7" w:rsidP="000D752D">
      <w:pPr>
        <w:spacing w:after="0" w:line="240" w:lineRule="atLeast"/>
        <w:ind w:right="403"/>
        <w:rPr>
          <w:rFonts w:ascii="Times New Roman" w:eastAsia="Arial" w:hAnsi="Times New Roman" w:cs="Times New Roman"/>
          <w:color w:val="1F3864" w:themeColor="accent5" w:themeShade="80"/>
          <w:sz w:val="32"/>
          <w:szCs w:val="32"/>
        </w:rPr>
      </w:pPr>
    </w:p>
    <w:p w:rsidR="003D2830" w:rsidRDefault="00B45E91" w:rsidP="000D752D">
      <w:pPr>
        <w:spacing w:after="0"/>
        <w:jc w:val="center"/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</w:pPr>
      <w:r w:rsidRPr="00B45E91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lastRenderedPageBreak/>
        <w:t>ОАО «</w:t>
      </w:r>
      <w:r w:rsidR="007862F7" w:rsidRPr="007862F7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>Славянскгоргаз</w:t>
      </w:r>
      <w:r w:rsidRPr="00B45E91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>»</w:t>
      </w:r>
      <w:r w:rsidR="003D2830" w:rsidRPr="00CC4792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 xml:space="preserve"> </w:t>
      </w:r>
      <w:r w:rsidR="003D2830" w:rsidRPr="0026306E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 xml:space="preserve">осуществляет деятельность </w:t>
      </w:r>
      <w:r w:rsidRPr="0026306E"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  <w:t>по распределению газообразного топлива по газораспределительным сетям</w:t>
      </w:r>
    </w:p>
    <w:p w:rsidR="00B45E91" w:rsidRPr="000D752D" w:rsidRDefault="00B45E91" w:rsidP="000D752D">
      <w:pPr>
        <w:spacing w:after="0"/>
        <w:jc w:val="center"/>
        <w:rPr>
          <w:rFonts w:ascii="Times New Roman" w:eastAsia="Arial" w:hAnsi="Times New Roman" w:cs="Times New Roman"/>
          <w:b/>
          <w:color w:val="1F3864" w:themeColor="accent5" w:themeShade="80"/>
          <w:sz w:val="32"/>
        </w:rPr>
      </w:pPr>
    </w:p>
    <w:p w:rsidR="008E7EFA" w:rsidRDefault="008E7EFA" w:rsidP="008E7EFA">
      <w:pPr>
        <w:spacing w:after="0" w:line="276" w:lineRule="auto"/>
        <w:ind w:right="1253"/>
        <w:jc w:val="center"/>
        <w:rPr>
          <w:rFonts w:ascii="Times New Roman" w:eastAsia="Arial" w:hAnsi="Times New Roman" w:cs="Times New Roman"/>
          <w:b/>
          <w:color w:val="1F497D"/>
          <w:sz w:val="28"/>
          <w:szCs w:val="28"/>
        </w:rPr>
      </w:pPr>
      <w:r w:rsidRPr="008E7EFA">
        <w:rPr>
          <w:rFonts w:ascii="Times New Roman" w:eastAsia="Arial" w:hAnsi="Times New Roman" w:cs="Times New Roman"/>
          <w:b/>
          <w:color w:val="1F497D"/>
          <w:sz w:val="28"/>
          <w:szCs w:val="28"/>
        </w:rPr>
        <w:t>Условия реализации и форма проведения торгов</w:t>
      </w:r>
    </w:p>
    <w:p w:rsidR="00582049" w:rsidRDefault="00DD595E" w:rsidP="008E7EFA">
      <w:pPr>
        <w:spacing w:before="240" w:after="0" w:line="276" w:lineRule="auto"/>
        <w:ind w:right="119"/>
        <w:rPr>
          <w:rFonts w:ascii="Times New Roman" w:hAnsi="Times New Roman" w:cs="Times New Roman"/>
        </w:rPr>
      </w:pPr>
      <w:r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Способ продажи </w:t>
      </w:r>
      <w:r w:rsidR="008E3AEB"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>Акций</w:t>
      </w:r>
      <w:r w:rsidR="00DA0D9B"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 и Имущества</w:t>
      </w:r>
      <w:r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: </w:t>
      </w:r>
      <w:r w:rsidRPr="00444BFF">
        <w:rPr>
          <w:rFonts w:ascii="Times New Roman" w:eastAsia="Arial" w:hAnsi="Times New Roman" w:cs="Times New Roman"/>
          <w:color w:val="1F497D"/>
          <w:sz w:val="28"/>
          <w:szCs w:val="28"/>
        </w:rPr>
        <w:t>торги в форме аукциона</w:t>
      </w:r>
      <w:r w:rsidR="008E7EFA">
        <w:rPr>
          <w:rFonts w:ascii="Times New Roman" w:eastAsia="Arial" w:hAnsi="Times New Roman" w:cs="Times New Roman"/>
          <w:color w:val="1F497D"/>
          <w:sz w:val="28"/>
          <w:szCs w:val="28"/>
        </w:rPr>
        <w:t xml:space="preserve"> (одним лотом)</w:t>
      </w:r>
      <w:r w:rsidRPr="00444BFF">
        <w:rPr>
          <w:rFonts w:ascii="Times New Roman" w:eastAsia="Arial" w:hAnsi="Times New Roman" w:cs="Times New Roman"/>
          <w:color w:val="1F497D"/>
          <w:sz w:val="28"/>
          <w:szCs w:val="28"/>
        </w:rPr>
        <w:t>, открытые по составу участников с пошаговым повышением первоначальной цены.</w:t>
      </w:r>
    </w:p>
    <w:p w:rsidR="00253CF0" w:rsidRPr="00582049" w:rsidRDefault="00DD595E" w:rsidP="008E7EFA">
      <w:pPr>
        <w:spacing w:before="240" w:after="0" w:line="276" w:lineRule="auto"/>
        <w:ind w:right="1825"/>
        <w:rPr>
          <w:rFonts w:ascii="Times New Roman" w:hAnsi="Times New Roman" w:cs="Times New Roman"/>
        </w:rPr>
      </w:pPr>
      <w:r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Место проведения торгов: </w:t>
      </w:r>
      <w:r w:rsidRPr="00444BFF">
        <w:rPr>
          <w:rFonts w:ascii="Times New Roman" w:eastAsia="Arial" w:hAnsi="Times New Roman" w:cs="Times New Roman"/>
          <w:color w:val="1F497D"/>
          <w:sz w:val="28"/>
          <w:szCs w:val="28"/>
        </w:rPr>
        <w:t xml:space="preserve">электронная площадка ЭТП ГПБ </w:t>
      </w:r>
      <w:hyperlink r:id="rId7">
        <w:r w:rsidRPr="00444BFF">
          <w:rPr>
            <w:rFonts w:ascii="Times New Roman" w:eastAsia="Arial" w:hAnsi="Times New Roman" w:cs="Times New Roman"/>
            <w:color w:val="0000FF"/>
            <w:sz w:val="28"/>
            <w:szCs w:val="28"/>
            <w:u w:val="single" w:color="0000FF"/>
          </w:rPr>
          <w:t>https</w:t>
        </w:r>
      </w:hyperlink>
      <w:hyperlink r:id="rId8">
        <w:r w:rsidRPr="00444BFF">
          <w:rPr>
            <w:rFonts w:ascii="Times New Roman" w:eastAsia="Arial" w:hAnsi="Times New Roman" w:cs="Times New Roman"/>
            <w:color w:val="0000FF"/>
            <w:sz w:val="28"/>
            <w:szCs w:val="28"/>
            <w:u w:val="single" w:color="0000FF"/>
          </w:rPr>
          <w:t>:</w:t>
        </w:r>
      </w:hyperlink>
      <w:hyperlink r:id="rId9">
        <w:r w:rsidRPr="00444BFF">
          <w:rPr>
            <w:rFonts w:ascii="Times New Roman" w:eastAsia="Arial" w:hAnsi="Times New Roman" w:cs="Times New Roman"/>
            <w:color w:val="0000FF"/>
            <w:sz w:val="28"/>
            <w:szCs w:val="28"/>
            <w:u w:val="single" w:color="0000FF"/>
          </w:rPr>
          <w:t>//etpgpb</w:t>
        </w:r>
      </w:hyperlink>
      <w:hyperlink r:id="rId10">
        <w:r w:rsidRPr="00444BFF">
          <w:rPr>
            <w:rFonts w:ascii="Times New Roman" w:eastAsia="Arial" w:hAnsi="Times New Roman" w:cs="Times New Roman"/>
            <w:color w:val="0000FF"/>
            <w:sz w:val="28"/>
            <w:szCs w:val="28"/>
            <w:u w:val="single" w:color="0000FF"/>
          </w:rPr>
          <w:t>.</w:t>
        </w:r>
      </w:hyperlink>
      <w:hyperlink r:id="rId11">
        <w:r w:rsidRPr="00444BFF">
          <w:rPr>
            <w:rFonts w:ascii="Times New Roman" w:eastAsia="Arial" w:hAnsi="Times New Roman" w:cs="Times New Roman"/>
            <w:color w:val="0000FF"/>
            <w:sz w:val="28"/>
            <w:szCs w:val="28"/>
            <w:u w:val="single" w:color="0000FF"/>
          </w:rPr>
          <w:t>ru</w:t>
        </w:r>
      </w:hyperlink>
      <w:hyperlink r:id="rId12">
        <w:r w:rsidRPr="00444BFF">
          <w:rPr>
            <w:rFonts w:ascii="Times New Roman" w:eastAsia="Arial" w:hAnsi="Times New Roman" w:cs="Times New Roman"/>
            <w:color w:val="0000FF"/>
            <w:sz w:val="28"/>
            <w:szCs w:val="28"/>
            <w:u w:val="single" w:color="0000FF"/>
          </w:rPr>
          <w:t>/</w:t>
        </w:r>
      </w:hyperlink>
      <w:r w:rsidRPr="00444BFF">
        <w:rPr>
          <w:rFonts w:ascii="Times New Roman" w:eastAsia="Arial" w:hAnsi="Times New Roman" w:cs="Times New Roman"/>
          <w:color w:val="1F497D"/>
          <w:sz w:val="28"/>
          <w:szCs w:val="28"/>
        </w:rPr>
        <w:t>.</w:t>
      </w:r>
    </w:p>
    <w:p w:rsidR="000166A5" w:rsidRPr="008E7EFA" w:rsidRDefault="00DD595E" w:rsidP="008E7EFA">
      <w:pPr>
        <w:spacing w:before="240" w:after="242" w:line="276" w:lineRule="auto"/>
        <w:ind w:left="-5" w:hanging="10"/>
        <w:rPr>
          <w:rFonts w:ascii="Times New Roman" w:eastAsia="Arial" w:hAnsi="Times New Roman" w:cs="Times New Roman"/>
          <w:color w:val="1F497D"/>
          <w:sz w:val="28"/>
          <w:szCs w:val="28"/>
        </w:rPr>
      </w:pPr>
      <w:r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>Начальная цена реализации</w:t>
      </w:r>
      <w:r w:rsidR="00444BFF"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 Акций</w:t>
      </w:r>
      <w:r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: </w:t>
      </w:r>
      <w:r w:rsidR="00034D37">
        <w:rPr>
          <w:rFonts w:ascii="Times New Roman" w:eastAsia="Arial" w:hAnsi="Times New Roman" w:cs="Times New Roman"/>
          <w:bCs/>
          <w:color w:val="1F497D"/>
          <w:sz w:val="28"/>
          <w:szCs w:val="28"/>
          <w:lang w:val="en-US"/>
        </w:rPr>
        <w:t>12 68</w:t>
      </w:r>
      <w:r w:rsidR="007862F7">
        <w:rPr>
          <w:rFonts w:ascii="Times New Roman" w:eastAsia="Arial" w:hAnsi="Times New Roman" w:cs="Times New Roman"/>
          <w:bCs/>
          <w:color w:val="1F497D"/>
          <w:sz w:val="28"/>
          <w:szCs w:val="28"/>
        </w:rPr>
        <w:t>3</w:t>
      </w:r>
      <w:r w:rsidR="00B45E91">
        <w:rPr>
          <w:rFonts w:ascii="Times New Roman" w:eastAsia="Arial" w:hAnsi="Times New Roman" w:cs="Times New Roman"/>
          <w:bCs/>
          <w:color w:val="1F497D"/>
          <w:sz w:val="28"/>
          <w:szCs w:val="28"/>
        </w:rPr>
        <w:t> </w:t>
      </w:r>
      <w:r w:rsidR="00B45E91" w:rsidRPr="00B45E91">
        <w:rPr>
          <w:rFonts w:ascii="Times New Roman" w:eastAsia="Arial" w:hAnsi="Times New Roman" w:cs="Times New Roman"/>
          <w:bCs/>
          <w:color w:val="1F497D"/>
          <w:sz w:val="28"/>
          <w:szCs w:val="28"/>
        </w:rPr>
        <w:t xml:space="preserve">000 руб., </w:t>
      </w:r>
      <w:r w:rsidR="008C6A14">
        <w:rPr>
          <w:rFonts w:ascii="Times New Roman" w:eastAsia="Arial" w:hAnsi="Times New Roman" w:cs="Times New Roman"/>
          <w:bCs/>
          <w:color w:val="1F497D"/>
          <w:sz w:val="28"/>
          <w:szCs w:val="28"/>
        </w:rPr>
        <w:t>(</w:t>
      </w:r>
      <w:r w:rsidR="00B45E91" w:rsidRPr="00B45E91">
        <w:rPr>
          <w:rFonts w:ascii="Times New Roman" w:eastAsia="Arial" w:hAnsi="Times New Roman" w:cs="Times New Roman"/>
          <w:bCs/>
          <w:color w:val="1F497D"/>
          <w:sz w:val="28"/>
          <w:szCs w:val="28"/>
        </w:rPr>
        <w:t>НДС</w:t>
      </w:r>
      <w:r w:rsidR="008C6A14">
        <w:rPr>
          <w:rFonts w:ascii="Times New Roman" w:eastAsia="Arial" w:hAnsi="Times New Roman" w:cs="Times New Roman"/>
          <w:bCs/>
          <w:color w:val="1F497D"/>
          <w:sz w:val="28"/>
          <w:szCs w:val="28"/>
        </w:rPr>
        <w:t xml:space="preserve"> не облагается)</w:t>
      </w:r>
    </w:p>
    <w:p w:rsidR="00444BFF" w:rsidRPr="00444BFF" w:rsidRDefault="00444BFF" w:rsidP="00472AD8">
      <w:pPr>
        <w:spacing w:after="242" w:line="276" w:lineRule="auto"/>
        <w:rPr>
          <w:rFonts w:ascii="Times New Roman" w:eastAsia="Arial" w:hAnsi="Times New Roman" w:cs="Times New Roman"/>
          <w:bCs/>
          <w:color w:val="1F497D"/>
          <w:sz w:val="28"/>
          <w:szCs w:val="28"/>
        </w:rPr>
      </w:pPr>
      <w:r w:rsidRPr="00444BFF">
        <w:rPr>
          <w:rFonts w:ascii="Times New Roman" w:eastAsia="Arial" w:hAnsi="Times New Roman" w:cs="Times New Roman"/>
          <w:b/>
          <w:bCs/>
          <w:color w:val="1F497D"/>
          <w:sz w:val="28"/>
          <w:szCs w:val="28"/>
        </w:rPr>
        <w:t>Шаг торгов:</w:t>
      </w:r>
      <w:r w:rsidR="00130A45">
        <w:rPr>
          <w:rFonts w:ascii="Times New Roman" w:eastAsia="Arial" w:hAnsi="Times New Roman" w:cs="Times New Roman"/>
          <w:bCs/>
          <w:color w:val="1F497D"/>
          <w:sz w:val="28"/>
          <w:szCs w:val="28"/>
        </w:rPr>
        <w:t xml:space="preserve"> 3</w:t>
      </w:r>
      <w:r w:rsidRPr="00444BFF">
        <w:rPr>
          <w:rFonts w:ascii="Times New Roman" w:eastAsia="Arial" w:hAnsi="Times New Roman" w:cs="Times New Roman"/>
          <w:bCs/>
          <w:color w:val="1F497D"/>
          <w:sz w:val="28"/>
          <w:szCs w:val="28"/>
        </w:rPr>
        <w:t>% от начальной цены Акций и Имущества.</w:t>
      </w:r>
    </w:p>
    <w:p w:rsidR="00444BFF" w:rsidRPr="00DF27AE" w:rsidRDefault="00444BFF" w:rsidP="00472AD8">
      <w:pPr>
        <w:spacing w:after="242" w:line="276" w:lineRule="auto"/>
        <w:ind w:left="-5" w:hanging="10"/>
        <w:rPr>
          <w:rFonts w:ascii="Times New Roman" w:eastAsia="Arial" w:hAnsi="Times New Roman" w:cs="Times New Roman"/>
          <w:color w:val="1F497D"/>
          <w:sz w:val="28"/>
          <w:szCs w:val="28"/>
        </w:rPr>
      </w:pPr>
      <w:r w:rsidRPr="00444BFF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Размер </w:t>
      </w:r>
      <w:r w:rsidRPr="00DF27AE">
        <w:rPr>
          <w:rFonts w:ascii="Times New Roman" w:eastAsia="Arial" w:hAnsi="Times New Roman" w:cs="Times New Roman"/>
          <w:b/>
          <w:color w:val="1F497D"/>
          <w:sz w:val="28"/>
          <w:szCs w:val="28"/>
        </w:rPr>
        <w:t>задатка:</w:t>
      </w:r>
      <w:r w:rsidR="00034D37">
        <w:rPr>
          <w:rFonts w:ascii="Times New Roman" w:eastAsia="Arial" w:hAnsi="Times New Roman" w:cs="Times New Roman"/>
          <w:color w:val="1F497D"/>
          <w:sz w:val="28"/>
          <w:szCs w:val="28"/>
        </w:rPr>
        <w:t xml:space="preserve"> 5</w:t>
      </w:r>
      <w:r w:rsidRPr="00DF27AE">
        <w:rPr>
          <w:rFonts w:ascii="Times New Roman" w:eastAsia="Arial" w:hAnsi="Times New Roman" w:cs="Times New Roman"/>
          <w:color w:val="1F497D"/>
          <w:sz w:val="28"/>
          <w:szCs w:val="28"/>
        </w:rPr>
        <w:t>0% от начальной цены Акций и Имущества</w:t>
      </w:r>
    </w:p>
    <w:p w:rsidR="008E7EFA" w:rsidRDefault="00DD595E" w:rsidP="008E7EFA">
      <w:pPr>
        <w:spacing w:after="242" w:line="276" w:lineRule="auto"/>
        <w:ind w:left="-5" w:hanging="10"/>
        <w:rPr>
          <w:rFonts w:ascii="Times New Roman" w:eastAsia="Arial" w:hAnsi="Times New Roman" w:cs="Times New Roman"/>
          <w:b/>
          <w:color w:val="1F497D"/>
          <w:sz w:val="28"/>
          <w:szCs w:val="28"/>
        </w:rPr>
      </w:pPr>
      <w:r w:rsidRPr="00DF27AE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Дата проведения торгов: </w:t>
      </w:r>
      <w:r w:rsidR="005E7D55">
        <w:rPr>
          <w:rFonts w:ascii="Times New Roman" w:eastAsia="Arial" w:hAnsi="Times New Roman" w:cs="Times New Roman"/>
          <w:b/>
          <w:color w:val="1F497D"/>
          <w:sz w:val="28"/>
          <w:szCs w:val="28"/>
        </w:rPr>
        <w:t>12</w:t>
      </w:r>
      <w:r w:rsidR="00DE08E2" w:rsidRPr="00DF27AE">
        <w:rPr>
          <w:rFonts w:ascii="Times New Roman" w:eastAsia="Arial" w:hAnsi="Times New Roman" w:cs="Times New Roman"/>
          <w:b/>
          <w:color w:val="1F497D"/>
          <w:sz w:val="28"/>
          <w:szCs w:val="28"/>
        </w:rPr>
        <w:t>.</w:t>
      </w:r>
      <w:r w:rsidR="005E7D55">
        <w:rPr>
          <w:rFonts w:ascii="Times New Roman" w:eastAsia="Arial" w:hAnsi="Times New Roman" w:cs="Times New Roman"/>
          <w:b/>
          <w:color w:val="1F497D"/>
          <w:sz w:val="28"/>
          <w:szCs w:val="28"/>
        </w:rPr>
        <w:t>11</w:t>
      </w:r>
      <w:r w:rsidR="00DE08E2" w:rsidRPr="00DF27AE">
        <w:rPr>
          <w:rFonts w:ascii="Times New Roman" w:eastAsia="Arial" w:hAnsi="Times New Roman" w:cs="Times New Roman"/>
          <w:b/>
          <w:color w:val="1F497D"/>
          <w:sz w:val="28"/>
          <w:szCs w:val="28"/>
        </w:rPr>
        <w:t>.</w:t>
      </w:r>
      <w:r w:rsidR="005E7D55">
        <w:rPr>
          <w:rFonts w:ascii="Times New Roman" w:eastAsia="Arial" w:hAnsi="Times New Roman" w:cs="Times New Roman"/>
          <w:b/>
          <w:color w:val="1F497D"/>
          <w:sz w:val="28"/>
          <w:szCs w:val="28"/>
        </w:rPr>
        <w:t>2025</w:t>
      </w:r>
      <w:r w:rsidR="00DE08E2" w:rsidRPr="00DF27AE">
        <w:rPr>
          <w:rFonts w:ascii="Times New Roman" w:eastAsia="Arial" w:hAnsi="Times New Roman" w:cs="Times New Roman"/>
          <w:b/>
          <w:color w:val="1F497D"/>
          <w:sz w:val="28"/>
          <w:szCs w:val="28"/>
        </w:rPr>
        <w:t xml:space="preserve"> в 1</w:t>
      </w:r>
      <w:r w:rsidR="00735E66">
        <w:rPr>
          <w:rFonts w:ascii="Times New Roman" w:eastAsia="Arial" w:hAnsi="Times New Roman" w:cs="Times New Roman"/>
          <w:b/>
          <w:color w:val="1F497D"/>
          <w:sz w:val="28"/>
          <w:szCs w:val="28"/>
        </w:rPr>
        <w:t>1</w:t>
      </w:r>
      <w:r w:rsidR="00DE08E2" w:rsidRPr="00DF27AE">
        <w:rPr>
          <w:rFonts w:ascii="Times New Roman" w:eastAsia="Arial" w:hAnsi="Times New Roman" w:cs="Times New Roman"/>
          <w:b/>
          <w:color w:val="1F497D"/>
          <w:sz w:val="28"/>
          <w:szCs w:val="28"/>
        </w:rPr>
        <w:t>:00 (МСК)</w:t>
      </w:r>
    </w:p>
    <w:p w:rsidR="00444BFF" w:rsidRPr="008E7EFA" w:rsidRDefault="00444BFF" w:rsidP="008E7EFA">
      <w:pPr>
        <w:spacing w:after="242" w:line="276" w:lineRule="auto"/>
        <w:ind w:left="-5" w:hanging="10"/>
        <w:rPr>
          <w:rFonts w:ascii="Times New Roman" w:eastAsia="Arial" w:hAnsi="Times New Roman" w:cs="Times New Roman"/>
          <w:b/>
          <w:color w:val="1F497D"/>
          <w:sz w:val="28"/>
          <w:szCs w:val="28"/>
        </w:rPr>
      </w:pPr>
      <w:r w:rsidRPr="008E7EFA">
        <w:rPr>
          <w:rFonts w:ascii="Times New Roman" w:eastAsia="Arial" w:hAnsi="Times New Roman" w:cs="Times New Roman"/>
          <w:color w:val="1F497D"/>
          <w:sz w:val="28"/>
          <w:szCs w:val="28"/>
        </w:rPr>
        <w:lastRenderedPageBreak/>
        <w:t>Детально с правилами проведения торгов, требованиями к участникам, условиями и порядком заключения договора купли-продажи можно ознакомиться на сайте организатора торгов</w:t>
      </w:r>
    </w:p>
    <w:p w:rsidR="00253CF0" w:rsidRPr="002D758A" w:rsidRDefault="005E7D55" w:rsidP="00DE08E2">
      <w:pPr>
        <w:pStyle w:val="1"/>
        <w:spacing w:after="0"/>
      </w:pPr>
      <w:r w:rsidRPr="002D758A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-777239</wp:posOffset>
            </wp:positionH>
            <wp:positionV relativeFrom="paragraph">
              <wp:posOffset>-265063</wp:posOffset>
            </wp:positionV>
            <wp:extent cx="4757928" cy="3099816"/>
            <wp:effectExtent l="0" t="0" r="0" b="0"/>
            <wp:wrapSquare wrapText="bothSides"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7928" cy="3099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95E" w:rsidRPr="002D758A">
        <w:t>ООО «ЭТП ГПБ»</w:t>
      </w:r>
    </w:p>
    <w:p w:rsidR="00DE08E2" w:rsidRDefault="00DD595E" w:rsidP="00DE08E2">
      <w:pPr>
        <w:spacing w:after="0" w:line="262" w:lineRule="auto"/>
        <w:ind w:left="10" w:right="2" w:hanging="10"/>
        <w:rPr>
          <w:rFonts w:ascii="Times New Roman" w:eastAsia="Times New Roman" w:hAnsi="Times New Roman" w:cs="Times New Roman"/>
          <w:sz w:val="32"/>
        </w:rPr>
      </w:pPr>
      <w:r w:rsidRPr="002D758A">
        <w:rPr>
          <w:rFonts w:ascii="Times New Roman" w:eastAsia="Times New Roman" w:hAnsi="Times New Roman" w:cs="Times New Roman"/>
          <w:sz w:val="32"/>
        </w:rPr>
        <w:t xml:space="preserve">г. Москва, Миклухо-Маклая, д. 40 </w:t>
      </w:r>
    </w:p>
    <w:p w:rsidR="008C6A14" w:rsidRDefault="00DD595E" w:rsidP="008C6A14">
      <w:pPr>
        <w:spacing w:after="0" w:line="262" w:lineRule="auto"/>
        <w:ind w:left="10" w:right="2" w:hanging="10"/>
        <w:rPr>
          <w:rFonts w:ascii="Times New Roman" w:eastAsia="Times New Roman" w:hAnsi="Times New Roman" w:cs="Times New Roman"/>
          <w:sz w:val="32"/>
          <w:u w:val="single" w:color="000000"/>
        </w:rPr>
      </w:pPr>
      <w:r w:rsidRPr="002D758A">
        <w:rPr>
          <w:rFonts w:ascii="Times New Roman" w:eastAsia="Times New Roman" w:hAnsi="Times New Roman" w:cs="Times New Roman"/>
          <w:sz w:val="32"/>
        </w:rPr>
        <w:t>Тел.: +7 (495) 276-00-51 (доб.42</w:t>
      </w:r>
      <w:r w:rsidR="00A05A77">
        <w:rPr>
          <w:rFonts w:ascii="Times New Roman" w:eastAsia="Times New Roman" w:hAnsi="Times New Roman" w:cs="Times New Roman"/>
          <w:sz w:val="32"/>
        </w:rPr>
        <w:t>4</w:t>
      </w:r>
      <w:r w:rsidRPr="002D758A">
        <w:rPr>
          <w:rFonts w:ascii="Times New Roman" w:eastAsia="Times New Roman" w:hAnsi="Times New Roman" w:cs="Times New Roman"/>
          <w:sz w:val="32"/>
        </w:rPr>
        <w:t xml:space="preserve">) </w:t>
      </w:r>
      <w:hyperlink r:id="rId14" w:history="1">
        <w:r w:rsidR="008C6A14" w:rsidRPr="00575661">
          <w:rPr>
            <w:rStyle w:val="a4"/>
            <w:rFonts w:ascii="Times New Roman" w:eastAsia="Times New Roman" w:hAnsi="Times New Roman" w:cs="Times New Roman"/>
            <w:sz w:val="32"/>
            <w:u w:color="000000"/>
          </w:rPr>
          <w:t>https://torgi.etpgpb.ru/</w:t>
        </w:r>
      </w:hyperlink>
      <w:r w:rsidR="008C6A14" w:rsidRPr="008C6A14">
        <w:rPr>
          <w:rFonts w:ascii="Times New Roman" w:eastAsia="Times New Roman" w:hAnsi="Times New Roman" w:cs="Times New Roman"/>
          <w:sz w:val="32"/>
          <w:u w:val="single" w:color="000000"/>
        </w:rPr>
        <w:t>.</w:t>
      </w:r>
    </w:p>
    <w:p w:rsidR="00253CF0" w:rsidRPr="002D758A" w:rsidRDefault="00DD595E" w:rsidP="008C6A14">
      <w:pPr>
        <w:spacing w:after="0" w:line="262" w:lineRule="auto"/>
        <w:ind w:left="10" w:right="2" w:hanging="10"/>
        <w:rPr>
          <w:rFonts w:ascii="Times New Roman" w:hAnsi="Times New Roman" w:cs="Times New Roman"/>
        </w:rPr>
      </w:pPr>
      <w:r w:rsidRPr="002D758A">
        <w:rPr>
          <w:rFonts w:ascii="Times New Roman" w:eastAsia="Times New Roman" w:hAnsi="Times New Roman" w:cs="Times New Roman"/>
          <w:sz w:val="32"/>
        </w:rPr>
        <w:t>Все замечания и предложения по процедуре проведения аукциона просим сообщать в ПАО «Газпром» по</w:t>
      </w:r>
      <w:r w:rsidR="00DE08E2">
        <w:rPr>
          <w:rFonts w:ascii="Times New Roman" w:eastAsia="Times New Roman" w:hAnsi="Times New Roman" w:cs="Times New Roman"/>
          <w:sz w:val="32"/>
        </w:rPr>
        <w:t xml:space="preserve"> </w:t>
      </w:r>
      <w:r w:rsidRPr="002D758A">
        <w:rPr>
          <w:rFonts w:ascii="Times New Roman" w:eastAsia="Times New Roman" w:hAnsi="Times New Roman" w:cs="Times New Roman"/>
          <w:sz w:val="32"/>
        </w:rPr>
        <w:t>телефонам: 8 (812) 609-76-32, 8 (812) 609-76-22, 8 (812) 609-76-24 или e-mail: inf@adm.gazprom.ru</w:t>
      </w:r>
      <w:bookmarkStart w:id="0" w:name="_GoBack"/>
      <w:bookmarkEnd w:id="0"/>
    </w:p>
    <w:sectPr w:rsidR="00253CF0" w:rsidRPr="002D758A" w:rsidSect="00BA14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4400" w:h="8100" w:orient="landscape"/>
      <w:pgMar w:top="993" w:right="792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A3" w:rsidRDefault="00F32CA3">
      <w:pPr>
        <w:spacing w:after="0" w:line="240" w:lineRule="auto"/>
      </w:pPr>
      <w:r>
        <w:separator/>
      </w:r>
    </w:p>
  </w:endnote>
  <w:endnote w:type="continuationSeparator" w:id="0">
    <w:p w:rsidR="00F32CA3" w:rsidRDefault="00F3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7534"/>
      <w:tblOverlap w:val="never"/>
      <w:tblW w:w="14400" w:type="dxa"/>
      <w:tblInd w:w="0" w:type="dxa"/>
      <w:tblCellMar>
        <w:left w:w="263" w:type="dxa"/>
        <w:right w:w="115" w:type="dxa"/>
      </w:tblCellMar>
      <w:tblLook w:val="04A0" w:firstRow="1" w:lastRow="0" w:firstColumn="1" w:lastColumn="0" w:noHBand="0" w:noVBand="1"/>
    </w:tblPr>
    <w:tblGrid>
      <w:gridCol w:w="14400"/>
    </w:tblGrid>
    <w:tr w:rsidR="00253CF0">
      <w:trPr>
        <w:trHeight w:val="566"/>
      </w:trPr>
      <w:tc>
        <w:tcPr>
          <w:tcW w:w="14400" w:type="dxa"/>
          <w:tcBorders>
            <w:top w:val="nil"/>
            <w:left w:val="nil"/>
            <w:bottom w:val="nil"/>
            <w:right w:val="nil"/>
          </w:tcBorders>
          <w:shd w:val="clear" w:color="auto" w:fill="0079C2"/>
          <w:vAlign w:val="center"/>
        </w:tcPr>
        <w:p w:rsidR="00253CF0" w:rsidRDefault="00DD595E">
          <w:pPr>
            <w:tabs>
              <w:tab w:val="center" w:pos="6930"/>
            </w:tabs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color w:val="FFFFFF"/>
              <w:sz w:val="28"/>
            </w:rPr>
            <w:t>2</w:t>
          </w:r>
          <w:r>
            <w:rPr>
              <w:rFonts w:ascii="Arial" w:eastAsia="Arial" w:hAnsi="Arial" w:cs="Arial"/>
              <w:b/>
              <w:color w:val="FFFFFF"/>
              <w:sz w:val="28"/>
            </w:rPr>
            <w:fldChar w:fldCharType="end"/>
          </w:r>
          <w:r>
            <w:rPr>
              <w:rFonts w:ascii="Arial" w:eastAsia="Arial" w:hAnsi="Arial" w:cs="Arial"/>
              <w:b/>
              <w:color w:val="FFFFFF"/>
              <w:sz w:val="28"/>
            </w:rPr>
            <w:tab/>
          </w:r>
          <w:r>
            <w:rPr>
              <w:rFonts w:ascii="Arial" w:eastAsia="Arial" w:hAnsi="Arial" w:cs="Arial"/>
              <w:color w:val="FFFFFF"/>
              <w:sz w:val="28"/>
            </w:rPr>
            <w:t>2023</w:t>
          </w:r>
        </w:p>
      </w:tc>
    </w:tr>
  </w:tbl>
  <w:p w:rsidR="00253CF0" w:rsidRDefault="00253CF0">
    <w:pPr>
      <w:spacing w:after="0"/>
      <w:ind w:left="-1440" w:right="135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7534"/>
      <w:tblOverlap w:val="never"/>
      <w:tblW w:w="14400" w:type="dxa"/>
      <w:tblInd w:w="0" w:type="dxa"/>
      <w:tblCellMar>
        <w:left w:w="263" w:type="dxa"/>
        <w:right w:w="115" w:type="dxa"/>
      </w:tblCellMar>
      <w:tblLook w:val="04A0" w:firstRow="1" w:lastRow="0" w:firstColumn="1" w:lastColumn="0" w:noHBand="0" w:noVBand="1"/>
    </w:tblPr>
    <w:tblGrid>
      <w:gridCol w:w="14400"/>
    </w:tblGrid>
    <w:tr w:rsidR="00253CF0">
      <w:trPr>
        <w:trHeight w:val="566"/>
      </w:trPr>
      <w:tc>
        <w:tcPr>
          <w:tcW w:w="14400" w:type="dxa"/>
          <w:tcBorders>
            <w:top w:val="nil"/>
            <w:left w:val="nil"/>
            <w:bottom w:val="nil"/>
            <w:right w:val="nil"/>
          </w:tcBorders>
          <w:shd w:val="clear" w:color="auto" w:fill="0079C2"/>
          <w:vAlign w:val="center"/>
        </w:tcPr>
        <w:p w:rsidR="00253CF0" w:rsidRPr="005E7D55" w:rsidRDefault="00DD595E">
          <w:pPr>
            <w:tabs>
              <w:tab w:val="center" w:pos="6930"/>
            </w:tabs>
            <w:rPr>
              <w:lang w:val="en-US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C6A14" w:rsidRPr="008C6A14">
            <w:rPr>
              <w:rFonts w:ascii="Arial" w:eastAsia="Arial" w:hAnsi="Arial" w:cs="Arial"/>
              <w:b/>
              <w:noProof/>
              <w:color w:val="FFFFFF"/>
              <w:sz w:val="28"/>
            </w:rPr>
            <w:t>4</w:t>
          </w:r>
          <w:r>
            <w:rPr>
              <w:rFonts w:ascii="Arial" w:eastAsia="Arial" w:hAnsi="Arial" w:cs="Arial"/>
              <w:b/>
              <w:color w:val="FFFFFF"/>
              <w:sz w:val="28"/>
            </w:rPr>
            <w:fldChar w:fldCharType="end"/>
          </w:r>
          <w:r>
            <w:rPr>
              <w:rFonts w:ascii="Arial" w:eastAsia="Arial" w:hAnsi="Arial" w:cs="Arial"/>
              <w:b/>
              <w:color w:val="FFFFFF"/>
              <w:sz w:val="28"/>
            </w:rPr>
            <w:tab/>
          </w:r>
          <w:r w:rsidR="005E7D55">
            <w:rPr>
              <w:rFonts w:ascii="Arial" w:eastAsia="Arial" w:hAnsi="Arial" w:cs="Arial"/>
              <w:color w:val="FFFFFF"/>
              <w:sz w:val="28"/>
            </w:rPr>
            <w:t>202</w:t>
          </w:r>
          <w:r w:rsidR="005E7D55">
            <w:rPr>
              <w:rFonts w:ascii="Arial" w:eastAsia="Arial" w:hAnsi="Arial" w:cs="Arial"/>
              <w:color w:val="FFFFFF"/>
              <w:sz w:val="28"/>
              <w:lang w:val="en-US"/>
            </w:rPr>
            <w:t>5</w:t>
          </w:r>
        </w:p>
      </w:tc>
    </w:tr>
  </w:tbl>
  <w:p w:rsidR="00253CF0" w:rsidRDefault="00253CF0">
    <w:pPr>
      <w:spacing w:after="0"/>
      <w:ind w:left="-1440" w:right="135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="7534"/>
      <w:tblOverlap w:val="never"/>
      <w:tblW w:w="14400" w:type="dxa"/>
      <w:tblInd w:w="0" w:type="dxa"/>
      <w:tblCellMar>
        <w:left w:w="263" w:type="dxa"/>
        <w:right w:w="115" w:type="dxa"/>
      </w:tblCellMar>
      <w:tblLook w:val="04A0" w:firstRow="1" w:lastRow="0" w:firstColumn="1" w:lastColumn="0" w:noHBand="0" w:noVBand="1"/>
    </w:tblPr>
    <w:tblGrid>
      <w:gridCol w:w="14400"/>
    </w:tblGrid>
    <w:tr w:rsidR="00253CF0">
      <w:trPr>
        <w:trHeight w:val="566"/>
      </w:trPr>
      <w:tc>
        <w:tcPr>
          <w:tcW w:w="14400" w:type="dxa"/>
          <w:tcBorders>
            <w:top w:val="nil"/>
            <w:left w:val="nil"/>
            <w:bottom w:val="nil"/>
            <w:right w:val="nil"/>
          </w:tcBorders>
          <w:shd w:val="clear" w:color="auto" w:fill="0079C2"/>
          <w:vAlign w:val="center"/>
        </w:tcPr>
        <w:p w:rsidR="00253CF0" w:rsidRDefault="00DD595E">
          <w:pPr>
            <w:tabs>
              <w:tab w:val="center" w:pos="6930"/>
            </w:tabs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color w:val="FFFFFF"/>
              <w:sz w:val="28"/>
            </w:rPr>
            <w:t>2</w:t>
          </w:r>
          <w:r>
            <w:rPr>
              <w:rFonts w:ascii="Arial" w:eastAsia="Arial" w:hAnsi="Arial" w:cs="Arial"/>
              <w:b/>
              <w:color w:val="FFFFFF"/>
              <w:sz w:val="28"/>
            </w:rPr>
            <w:fldChar w:fldCharType="end"/>
          </w:r>
          <w:r>
            <w:rPr>
              <w:rFonts w:ascii="Arial" w:eastAsia="Arial" w:hAnsi="Arial" w:cs="Arial"/>
              <w:b/>
              <w:color w:val="FFFFFF"/>
              <w:sz w:val="28"/>
            </w:rPr>
            <w:tab/>
          </w:r>
          <w:r>
            <w:rPr>
              <w:rFonts w:ascii="Arial" w:eastAsia="Arial" w:hAnsi="Arial" w:cs="Arial"/>
              <w:color w:val="FFFFFF"/>
              <w:sz w:val="28"/>
            </w:rPr>
            <w:t>2023</w:t>
          </w:r>
        </w:p>
      </w:tc>
    </w:tr>
  </w:tbl>
  <w:p w:rsidR="00253CF0" w:rsidRDefault="00253CF0">
    <w:pPr>
      <w:spacing w:after="0"/>
      <w:ind w:left="-1440" w:right="135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A3" w:rsidRDefault="00F32CA3">
      <w:pPr>
        <w:spacing w:after="0" w:line="240" w:lineRule="auto"/>
      </w:pPr>
      <w:r>
        <w:separator/>
      </w:r>
    </w:p>
  </w:footnote>
  <w:footnote w:type="continuationSeparator" w:id="0">
    <w:p w:rsidR="00F32CA3" w:rsidRDefault="00F3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F0" w:rsidRDefault="00DD595E">
    <w:pPr>
      <w:spacing w:after="0"/>
      <w:ind w:left="-1440" w:right="13509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789432"/>
              <wp:effectExtent l="0" t="0" r="0" b="0"/>
              <wp:wrapSquare wrapText="bothSides"/>
              <wp:docPr id="4331" name="Group 4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789432"/>
                        <a:chOff x="0" y="0"/>
                        <a:chExt cx="9144000" cy="789432"/>
                      </a:xfrm>
                    </wpg:grpSpPr>
                    <wps:wsp>
                      <wps:cNvPr id="4487" name="Shape 4487"/>
                      <wps:cNvSpPr/>
                      <wps:spPr>
                        <a:xfrm>
                          <a:off x="0" y="0"/>
                          <a:ext cx="9144000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89432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  <a:lnTo>
                                <a:pt x="9144000" y="789432"/>
                              </a:lnTo>
                              <a:lnTo>
                                <a:pt x="0" y="789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31" style="width:720pt;height:62.16pt;position:absolute;mso-position-horizontal-relative:page;mso-position-horizontal:absolute;margin-left:0pt;mso-position-vertical-relative:page;margin-top:0pt;" coordsize="91440,7894">
              <v:shape id="Shape 4488" style="position:absolute;width:91440;height:7894;left:0;top:0;" coordsize="9144000,789432" path="m0,0l9144000,0l9144000,789432l0,789432l0,0">
                <v:stroke weight="0pt" endcap="flat" joinstyle="miter" miterlimit="10" on="false" color="#000000" opacity="0"/>
                <v:fill on="true" color="#0079c2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F0" w:rsidRDefault="00253CF0">
    <w:pPr>
      <w:spacing w:after="0"/>
      <w:ind w:left="-1440" w:right="135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F0" w:rsidRDefault="00DD595E">
    <w:pPr>
      <w:spacing w:after="0"/>
      <w:ind w:left="-1440" w:right="13509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789432"/>
              <wp:effectExtent l="0" t="0" r="0" b="0"/>
              <wp:wrapSquare wrapText="bothSides"/>
              <wp:docPr id="4291" name="Group 42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789432"/>
                        <a:chOff x="0" y="0"/>
                        <a:chExt cx="9144000" cy="789432"/>
                      </a:xfrm>
                    </wpg:grpSpPr>
                    <wps:wsp>
                      <wps:cNvPr id="4483" name="Shape 4483"/>
                      <wps:cNvSpPr/>
                      <wps:spPr>
                        <a:xfrm>
                          <a:off x="0" y="0"/>
                          <a:ext cx="9144000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89432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  <a:lnTo>
                                <a:pt x="9144000" y="789432"/>
                              </a:lnTo>
                              <a:lnTo>
                                <a:pt x="0" y="789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91" style="width:720pt;height:62.16pt;position:absolute;mso-position-horizontal-relative:page;mso-position-horizontal:absolute;margin-left:0pt;mso-position-vertical-relative:page;margin-top:0pt;" coordsize="91440,7894">
              <v:shape id="Shape 4484" style="position:absolute;width:91440;height:7894;left:0;top:0;" coordsize="9144000,789432" path="m0,0l9144000,0l9144000,789432l0,789432l0,0">
                <v:stroke weight="0pt" endcap="flat" joinstyle="miter" miterlimit="10" on="false" color="#000000" opacity="0"/>
                <v:fill on="true" color="#0079c2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2E8"/>
    <w:multiLevelType w:val="hybridMultilevel"/>
    <w:tmpl w:val="E19CB4C2"/>
    <w:lvl w:ilvl="0" w:tplc="1DE41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C8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2C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A7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81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8D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28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8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81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277649"/>
    <w:multiLevelType w:val="multilevel"/>
    <w:tmpl w:val="24F4FD14"/>
    <w:lvl w:ilvl="0">
      <w:start w:val="1"/>
      <w:numFmt w:val="decimal"/>
      <w:lvlText w:val="%1."/>
      <w:lvlJc w:val="left"/>
      <w:pPr>
        <w:ind w:left="0" w:hanging="24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0" w:hanging="576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hanging="658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416CE2"/>
    <w:multiLevelType w:val="hybridMultilevel"/>
    <w:tmpl w:val="CCB250B4"/>
    <w:lvl w:ilvl="0" w:tplc="75F83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80B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A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CE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60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C8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C5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8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AE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2606D7"/>
    <w:multiLevelType w:val="hybridMultilevel"/>
    <w:tmpl w:val="32E02FDA"/>
    <w:lvl w:ilvl="0" w:tplc="44AC0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4C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88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80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A9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44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6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20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F0"/>
    <w:rsid w:val="000166A5"/>
    <w:rsid w:val="00034D37"/>
    <w:rsid w:val="0003526D"/>
    <w:rsid w:val="000D752D"/>
    <w:rsid w:val="00110EB5"/>
    <w:rsid w:val="00112EB6"/>
    <w:rsid w:val="00130A45"/>
    <w:rsid w:val="00177E36"/>
    <w:rsid w:val="001F1844"/>
    <w:rsid w:val="001F6894"/>
    <w:rsid w:val="00226225"/>
    <w:rsid w:val="00253CF0"/>
    <w:rsid w:val="0026306E"/>
    <w:rsid w:val="00264402"/>
    <w:rsid w:val="002D0D86"/>
    <w:rsid w:val="002D758A"/>
    <w:rsid w:val="003212A2"/>
    <w:rsid w:val="00330444"/>
    <w:rsid w:val="0034285E"/>
    <w:rsid w:val="003D2830"/>
    <w:rsid w:val="003F3A8B"/>
    <w:rsid w:val="00444BFF"/>
    <w:rsid w:val="00472AD8"/>
    <w:rsid w:val="004F13B9"/>
    <w:rsid w:val="005768DB"/>
    <w:rsid w:val="00582049"/>
    <w:rsid w:val="005E7D55"/>
    <w:rsid w:val="006647C8"/>
    <w:rsid w:val="006B7777"/>
    <w:rsid w:val="006E3E25"/>
    <w:rsid w:val="00735E66"/>
    <w:rsid w:val="007862F7"/>
    <w:rsid w:val="007A02E1"/>
    <w:rsid w:val="007B6854"/>
    <w:rsid w:val="008C6A14"/>
    <w:rsid w:val="008E3AEB"/>
    <w:rsid w:val="008E7EFA"/>
    <w:rsid w:val="009216DF"/>
    <w:rsid w:val="009606F1"/>
    <w:rsid w:val="009E1164"/>
    <w:rsid w:val="00A05A77"/>
    <w:rsid w:val="00AD4B67"/>
    <w:rsid w:val="00B00BF0"/>
    <w:rsid w:val="00B45E91"/>
    <w:rsid w:val="00B85D51"/>
    <w:rsid w:val="00BA1407"/>
    <w:rsid w:val="00BD1342"/>
    <w:rsid w:val="00C51857"/>
    <w:rsid w:val="00CC4792"/>
    <w:rsid w:val="00CD3B57"/>
    <w:rsid w:val="00DA0D9B"/>
    <w:rsid w:val="00DD595E"/>
    <w:rsid w:val="00DE08E2"/>
    <w:rsid w:val="00DF27AE"/>
    <w:rsid w:val="00E171D4"/>
    <w:rsid w:val="00ED7C4A"/>
    <w:rsid w:val="00F32CA3"/>
    <w:rsid w:val="00F66678"/>
    <w:rsid w:val="00F73D56"/>
    <w:rsid w:val="00F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906A55"/>
  <w15:docId w15:val="{B8869599-B6D3-44CD-A88C-07AFFC6B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F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30"/>
      <w:ind w:left="394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6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9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6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6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7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1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6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8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gpb.ru/" TargetMode="Externa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tpgpb.ru/" TargetMode="External"/><Relationship Id="rId12" Type="http://schemas.openxmlformats.org/officeDocument/2006/relationships/hyperlink" Target="https://etpgp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gpb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tpgpb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etpgpb.ru/" TargetMode="External"/><Relationship Id="rId14" Type="http://schemas.openxmlformats.org/officeDocument/2006/relationships/hyperlink" Target="https://torgi.etpgp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Слайд 1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subject/>
  <dc:creator>julia</dc:creator>
  <cp:keywords/>
  <cp:lastModifiedBy>Сурова Елена Алексеевна</cp:lastModifiedBy>
  <cp:revision>35</cp:revision>
  <cp:lastPrinted>2023-06-08T06:34:00Z</cp:lastPrinted>
  <dcterms:created xsi:type="dcterms:W3CDTF">2023-06-08T04:23:00Z</dcterms:created>
  <dcterms:modified xsi:type="dcterms:W3CDTF">2025-10-02T05:25:00Z</dcterms:modified>
</cp:coreProperties>
</file>