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АНОНС</w:t>
      </w:r>
    </w:p>
    <w:p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по продаже объектов недвижимого </w:t>
      </w:r>
      <w:r>
        <w:rPr>
          <w:rFonts w:ascii="Times New Roman" w:hAnsi="Times New Roman" w:cs="Times New Roman"/>
          <w:b/>
          <w:sz w:val="24"/>
        </w:rPr>
        <w:t xml:space="preserve">имущества </w:t>
      </w:r>
      <w:r>
        <w:rPr>
          <w:rFonts w:ascii="Times New Roman" w:hAnsi="Times New Roman" w:cs="Times New Roman"/>
          <w:b/>
          <w:sz w:val="24"/>
        </w:rPr>
        <w:t xml:space="preserve">(</w:t>
      </w:r>
      <w:r>
        <w:rPr>
          <w:rFonts w:ascii="Times New Roman" w:hAnsi="Times New Roman" w:cs="Times New Roman"/>
          <w:b/>
        </w:rPr>
        <w:t xml:space="preserve">Здание ГРП № 9</w:t>
      </w:r>
      <w:r>
        <w:rPr>
          <w:rFonts w:ascii="Times New Roman" w:hAnsi="Times New Roman" w:cs="Times New Roman"/>
          <w:b/>
          <w:sz w:val="24"/>
        </w:rPr>
        <w:t xml:space="preserve">),</w:t>
      </w:r>
    </w:p>
    <w:p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расположенного по адресу: </w:t>
      </w:r>
      <w:r>
        <w:rPr>
          <w:rFonts w:ascii="Times New Roman" w:hAnsi="Times New Roman" w:eastAsia="TimesNewRomanPSMT" w:cs="Times New Roman"/>
          <w:b/>
          <w:sz w:val="24"/>
          <w:szCs w:val="24"/>
        </w:rPr>
        <w:t xml:space="preserve">Россия,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</w:rPr>
        <w:t xml:space="preserve">Краснодарский край, г. Ейск, ул. Бердянская </w:t>
      </w:r>
      <w:r>
        <w:rPr>
          <w:rFonts w:ascii="Times New Roman" w:hAnsi="Times New Roman" w:cs="Times New Roman"/>
          <w:b/>
          <w:sz w:val="24"/>
        </w:rPr>
        <w:t xml:space="preserve">(собственник - </w:t>
      </w:r>
      <w:r>
        <w:rPr>
          <w:rFonts w:ascii="Times New Roman" w:hAnsi="Times New Roman" w:cs="Times New Roman"/>
          <w:b/>
          <w:sz w:val="26"/>
          <w:szCs w:val="26"/>
        </w:rPr>
        <w:t xml:space="preserve">АО «Ейскгоргаз»)</w:t>
      </w:r>
    </w:p>
    <w:p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>
      <w:pPr>
        <w:spacing w:after="0" w:line="240" w:lineRule="auto"/>
        <w:ind w:left="-709" w:firstLine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АО «Газпром газораспределение Краснодар» (</w:t>
      </w:r>
      <w:r>
        <w:rPr>
          <w:rFonts w:ascii="Times New Roman" w:hAnsi="Times New Roman" w:cs="Times New Roman"/>
          <w:sz w:val="26"/>
          <w:szCs w:val="26"/>
        </w:rPr>
        <w:t xml:space="preserve">АО «Ейскгоргаз»</w:t>
      </w:r>
      <w:r>
        <w:rPr>
          <w:rFonts w:ascii="Times New Roman" w:hAnsi="Times New Roman" w:cs="Times New Roman"/>
          <w:sz w:val="24"/>
          <w:szCs w:val="24"/>
        </w:rPr>
        <w:t xml:space="preserve">) сообщает о намерении реализовать имущество, расположенное по адресу: Россия, </w:t>
      </w:r>
      <w:r>
        <w:rPr>
          <w:rFonts w:ascii="Times New Roman" w:hAnsi="Times New Roman" w:cs="Times New Roman"/>
        </w:rPr>
        <w:t xml:space="preserve">Краснодарский край, г. Ейск, ул. Бердянская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</w:rPr>
        <w:t xml:space="preserve">Здание ГРП № 9 </w:t>
      </w:r>
      <w:r>
        <w:rPr>
          <w:rFonts w:ascii="Times New Roman" w:hAnsi="Times New Roman" w:cs="Times New Roman"/>
          <w:sz w:val="24"/>
          <w:szCs w:val="24"/>
        </w:rPr>
        <w:t xml:space="preserve">и приглашает заинтересованных лиц принять участие в переговорах по приобретению данного имущества.</w:t>
      </w:r>
    </w:p>
    <w:tbl>
      <w:tblPr>
        <w:tblStyle w:val="a3"/>
        <w:tblW w:w="10774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3261"/>
        <w:gridCol w:w="2126"/>
        <w:gridCol w:w="5387"/>
      </w:tblGrid>
      <w:tr>
        <w:trPr>
          <w:trHeight w:val="423"/>
        </w:trPr>
        <w:tc>
          <w:tcPr>
            <w:tcW w:w="107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</w:tcPr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  <w:lang w:eastAsia="ru-RU"/>
              </w:rPr>
              <w:t xml:space="preserve">Описание недвижимого и движимого имущества: </w:t>
            </w:r>
            <w:r>
              <w:rPr>
                <w:rFonts w:ascii="Times New Roman" w:hAnsi="Times New Roman" w:cs="Times New Roman"/>
                <w:b/>
              </w:rPr>
              <w:t xml:space="preserve">Здание ГРП № 9</w:t>
            </w:r>
          </w:p>
        </w:tc>
      </w:tr>
      <w:tr>
        <w:trPr>
          <w:trHeight w:val="3350"/>
        </w:trPr>
        <w:tc>
          <w:tcPr>
            <w:tcW w:w="326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Кадастровые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номер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Площадь, кв.м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Назначение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Наименование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Год постройки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Материал наружных стен 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Этажность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Фундамент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Стены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Электроосвещение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Водопровод</w:t>
            </w:r>
          </w:p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Канализация</w:t>
            </w:r>
          </w:p>
        </w:tc>
        <w:tc>
          <w:tcPr>
            <w:tcW w:w="751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Times New Roman" w:hAnsi="Times New Roman" w:eastAsia="TimesNewRomanPSMT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23:42:0202145:476</w:t>
            </w:r>
          </w:p>
          <w:p>
            <w:pPr>
              <w:rPr>
                <w:rFonts w:ascii="Times New Roman" w:hAnsi="Times New Roman" w:eastAsia="TimesNewRomanPSMT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15,8</w:t>
            </w:r>
          </w:p>
          <w:p>
            <w:pPr>
              <w:rPr>
                <w:rFonts w:ascii="Times New Roman" w:hAnsi="Times New Roman" w:eastAsia="TimesNewRomanPSMT" w:cs="Times New Roman"/>
                <w:sz w:val="24"/>
                <w:szCs w:val="24"/>
              </w:rPr>
            </w:pPr>
            <w:r>
              <w:rPr>
                <w:rFonts w:ascii="Times New Roman" w:hAnsi="Times New Roman" w:eastAsia="TimesNewRomanPSMT" w:cs="Times New Roman"/>
                <w:sz w:val="24"/>
                <w:szCs w:val="24"/>
                <w:lang w:val="en-US"/>
              </w:rPr>
              <w:t xml:space="preserve">Не</w:t>
            </w:r>
            <w:r>
              <w:rPr>
                <w:rFonts w:ascii="Times New Roman" w:hAnsi="Times New Roman" w:eastAsia="TimesNewRomanPSMT" w:cs="Times New Roman"/>
                <w:sz w:val="24"/>
                <w:szCs w:val="24"/>
              </w:rPr>
              <w:t xml:space="preserve">ж</w:t>
            </w:r>
            <w:r>
              <w:rPr>
                <w:rFonts w:ascii="Times New Roman" w:hAnsi="Times New Roman" w:eastAsia="TimesNewRomanPSMT" w:cs="Times New Roman"/>
                <w:sz w:val="24"/>
                <w:szCs w:val="24"/>
              </w:rPr>
              <w:t xml:space="preserve">илое</w:t>
            </w:r>
          </w:p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Здание ГРП № 9 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1972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Кирпичные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Присутствует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Кирпичные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Подведено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Подведено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Подведено</w:t>
            </w:r>
          </w:p>
        </w:tc>
      </w:tr>
      <w:tr>
        <w:trPr>
          <w:trHeight w:val="908"/>
        </w:trPr>
        <w:tc>
          <w:tcPr>
            <w:tcW w:w="107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663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Объект недвижимого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имуще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ва расположен на земельном участке общей площадью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92+/-3,36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кв.м (Кадастровый номер: </w:t>
            </w:r>
            <w:r>
              <w:rPr>
                <w:rFonts w:ascii="Times New Roman" w:hAnsi="Times New Roman" w:eastAsia="TimesNewRomanPSMT" w:cs="Times New Roman"/>
                <w:sz w:val="24"/>
                <w:szCs w:val="24"/>
              </w:rPr>
              <w:t xml:space="preserve">23:</w:t>
            </w:r>
            <w:r>
              <w:rPr>
                <w:rFonts w:ascii="Times New Roman" w:hAnsi="Times New Roman" w:eastAsia="TimesNewRomanPSMT" w:cs="Times New Roman"/>
                <w:sz w:val="24"/>
                <w:szCs w:val="24"/>
              </w:rPr>
              <w:t xml:space="preserve">42</w:t>
            </w:r>
            <w:r>
              <w:rPr>
                <w:rFonts w:ascii="Times New Roman" w:hAnsi="Times New Roman" w:eastAsia="TimesNewRomanPSMT" w:cs="Times New Roman"/>
                <w:sz w:val="24"/>
                <w:szCs w:val="24"/>
              </w:rPr>
              <w:t xml:space="preserve">:</w:t>
            </w:r>
            <w:r>
              <w:rPr>
                <w:rFonts w:ascii="Times New Roman" w:hAnsi="Times New Roman" w:eastAsia="TimesNewRomanPSMT" w:cs="Times New Roman"/>
                <w:sz w:val="24"/>
                <w:szCs w:val="24"/>
              </w:rPr>
              <w:t xml:space="preserve">0202145:7</w:t>
            </w:r>
            <w:r>
              <w:rPr>
                <w:rFonts w:ascii="Times New Roman" w:hAnsi="Times New Roman" w:eastAsia="TimesNewRomanPSMT" w:cs="Times New Roman"/>
                <w:sz w:val="24"/>
                <w:szCs w:val="24"/>
              </w:rPr>
              <w:t xml:space="preserve">)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Вид права: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аренда</w:t>
            </w:r>
          </w:p>
        </w:tc>
      </w:tr>
      <w:tr>
        <w:trPr>
          <w:trHeight w:val="746"/>
        </w:trPr>
        <w:tc>
          <w:tcPr>
            <w:tcW w:w="107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Существующие обременения: ограничения прав на земельный участок, предусмотренные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 xml:space="preserve">ст. 56 ЗК РФ</w:t>
            </w:r>
          </w:p>
        </w:tc>
      </w:tr>
      <w:tr>
        <w:trPr>
          <w:trHeight w:val="544"/>
        </w:trPr>
        <w:tc>
          <w:tcPr>
            <w:tcW w:w="107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Фотографии объект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ов движимого и недвижимого имущества</w:t>
            </w:r>
          </w:p>
        </w:tc>
      </w:tr>
      <w:tr>
        <w:trPr>
          <w:trHeight w:val="908"/>
        </w:trPr>
        <w:tc>
          <w:tcPr>
            <w:tcW w:w="538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ind w:firstLine="17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283585" cy="2612390"/>
                      <wp:effectExtent l="0" t="0" r="0" b="0"/>
                      <wp:docPr id="1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  <pic:nvPr/>
                            </pic:nvPicPr>
                            <pic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0" y="0"/>
                                <a:ext cx="3283585" cy="2612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0" o:spid="_x0000_s0" type="#_x0000_t75" style="width:258.55pt;height:205.70pt;mso-wrap-distance-left:0.00pt;mso-wrap-distance-top:0.00pt;mso-wrap-distance-right:0.00pt;mso-wrap-distance-bottom:0.00pt;" stroked="f">
                      <v:path textboxrect="0,0,0,0"/>
                      <v:imagedata r:id="rId9" o:title=""/>
                    </v:shape>
                  </w:pict>
                </mc:Fallback>
              </mc:AlternateContent>
            </w:r>
          </w:p>
        </w:tc>
        <w:tc>
          <w:tcPr>
            <w:tcW w:w="53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271520" cy="2499995"/>
                      <wp:effectExtent l="0" t="0" r="5080" b="0"/>
                      <wp:docPr id="2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 noChangeArrowheads="1"/>
                              </pic:cNvPicPr>
                              <pic:nvPr/>
                            </pic:nvPicPr>
                            <pic:blipFill>
                              <a:blip r:embed="rId11"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0" y="0"/>
                                <a:ext cx="3271520" cy="2499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257.60pt;height:196.85pt;mso-wrap-distance-left:0.00pt;mso-wrap-distance-top:0.00pt;mso-wrap-distance-right:0.00pt;mso-wrap-distance-bottom:0.00pt;" stroked="f">
                      <v:path textboxrect="0,0,0,0"/>
                      <v:imagedata r:id="rId11" o:title=""/>
                    </v:shape>
                  </w:pict>
                </mc:Fallback>
              </mc:AlternateContent>
            </w:r>
          </w:p>
        </w:tc>
      </w:tr>
      <w:tr>
        <w:trPr>
          <w:trHeight w:val="908"/>
        </w:trPr>
        <w:tc>
          <w:tcPr>
            <w:tcW w:w="538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ind w:hanging="81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271520" cy="2517775"/>
                      <wp:effectExtent l="0" t="0" r="5080" b="0"/>
                      <wp:docPr id="3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/>
                              <pic:cNvPicPr>
                                <a:picLocks noChangeAspect="1" noChangeArrowheads="1"/>
                              </pic:cNvPicPr>
                              <pic:nvPr/>
                            </pic:nvPicPr>
                            <pic:blipFill>
                              <a:blip r:embed="rId13"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0" y="0"/>
                                <a:ext cx="3271520" cy="25177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257.60pt;height:198.25pt;mso-wrap-distance-left:0.00pt;mso-wrap-distance-top:0.00pt;mso-wrap-distance-right:0.00pt;mso-wrap-distance-bottom:0.00pt;" stroked="f">
                      <v:path textboxrect="0,0,0,0"/>
                      <v:imagedata r:id="rId13" o:title=""/>
                    </v:shape>
                  </w:pict>
                </mc:Fallback>
              </mc:AlternateContent>
            </w:r>
          </w:p>
        </w:tc>
        <w:tc>
          <w:tcPr>
            <w:tcW w:w="53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ind w:firstLine="60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277870" cy="2879725"/>
                      <wp:effectExtent l="0" t="0" r="0" b="0"/>
                      <wp:docPr id="4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  <pic:nvPr/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0" y="0"/>
                                <a:ext cx="3277870" cy="2879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258.10pt;height:226.75pt;mso-wrap-distance-left:0.00pt;mso-wrap-distance-top:0.00pt;mso-wrap-distance-right:0.00pt;mso-wrap-distance-bottom:0.00pt;" stroked="f">
                      <v:path textboxrect="0,0,0,0"/>
                      <v:imagedata r:id="rId15" o:title=""/>
                    </v:shape>
                  </w:pict>
                </mc:Fallback>
              </mc:AlternateContent>
            </w:r>
          </w:p>
        </w:tc>
      </w:tr>
      <w:tr>
        <w:trPr>
          <w:trHeight w:val="311"/>
        </w:trPr>
        <w:tc>
          <w:tcPr>
            <w:tcW w:w="5387" w:type="dxa"/>
            <w:gridSpan w:val="2"/>
            <w:vMerge w:val="restart"/>
            <w:tcBorders>
              <w:top w:val="none"/>
              <w:left w:val="single" w:color="auto" w:sz="4" w:space="0"/>
              <w:right w:val="none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Контактные данные собственника: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Юридический адрес: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Почтовый адрес:</w:t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Адрес электронной почты:</w:t>
            </w:r>
          </w:p>
          <w:p>
            <w:pPr>
              <w:rPr>
                <w:rFonts w:ascii="Times New Roman" w:hAnsi="Times New Roman" w:cs="Times New Roman"/>
                <w:sz w:val="8"/>
                <w:szCs w:val="24"/>
                <w:lang w:eastAsia="ru-RU"/>
              </w:rPr>
            </w:pPr>
          </w:p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Телефон/факс:</w:t>
            </w:r>
          </w:p>
        </w:tc>
        <w:tc>
          <w:tcPr>
            <w:tcW w:w="5387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АО «Ейскгоргаз»</w:t>
            </w:r>
          </w:p>
        </w:tc>
      </w:tr>
      <w:tr>
        <w:trPr>
          <w:trHeight w:val="761"/>
        </w:trPr>
        <w:tc>
          <w:tcPr>
            <w:tcW w:w="5387" w:type="dxa"/>
            <w:gridSpan w:val="2"/>
            <w:vMerge w:val="continue"/>
            <w:tcBorders>
              <w:left w:val="single" w:color="auto" w:sz="4" w:space="0"/>
              <w:right w:val="none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Россия,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Краснодарский край, г. Ейск, ул.Советов,102</w:t>
            </w:r>
          </w:p>
        </w:tc>
      </w:tr>
      <w:tr>
        <w:trPr>
          <w:trHeight w:val="761"/>
        </w:trPr>
        <w:tc>
          <w:tcPr>
            <w:tcW w:w="5387" w:type="dxa"/>
            <w:gridSpan w:val="2"/>
            <w:vMerge w:val="continue"/>
            <w:tcBorders>
              <w:left w:val="single" w:color="auto" w:sz="4" w:space="0"/>
              <w:right w:val="none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Россия,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Краснодарский край, г. Ейск, ул.Советов,102</w:t>
            </w:r>
          </w:p>
        </w:tc>
      </w:tr>
      <w:tr>
        <w:trPr>
          <w:trHeight w:val="454"/>
        </w:trPr>
        <w:tc>
          <w:tcPr>
            <w:tcW w:w="5387" w:type="dxa"/>
            <w:gridSpan w:val="2"/>
            <w:vMerge w:val="continue"/>
            <w:tcBorders>
              <w:left w:val="single" w:color="auto" w:sz="4" w:space="0"/>
              <w:right w:val="none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oui@gazpromgk.ru</w:t>
            </w:r>
          </w:p>
        </w:tc>
      </w:tr>
      <w:tr>
        <w:trPr>
          <w:trHeight w:val="344"/>
        </w:trPr>
        <w:tc>
          <w:tcPr>
            <w:tcW w:w="5387" w:type="dxa"/>
            <w:gridSpan w:val="2"/>
            <w:vMerge w:val="continue"/>
            <w:tcBorders>
              <w:left w:val="single" w:color="auto" w:sz="4" w:space="0"/>
              <w:right w:val="none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+7 (861) 279-33-96</w:t>
            </w:r>
          </w:p>
        </w:tc>
      </w:tr>
    </w:tbl>
    <w:p/>
    <w:sectPr>
      <w:pgSz w:w="11906" w:h="16838"/>
      <w:pgMar w:top="1134" w:right="849" w:bottom="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</w:p>
  </w:endnote>
  <w:endnote w:type="continuationSeparator" w:id="0">
    <w:p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NewRomanPSMT">
    <w:panose1 w:val="02020603050405020304"/>
  </w:font>
  <w:font w:name="Times New Roman">
    <w:panose1 w:val="02020603050405020304"/>
  </w:font>
  <w:font w:name="Calibri">
    <w:panose1 w:val="020F0502020204030204"/>
  </w:font>
  <w:font w:name="Tahoma">
    <w:panose1 w:val="020B060403050404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</w:p>
  </w:footnote>
  <w:footnote w:type="continuationSeparator" w:id="0">
    <w:p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a" w:default="1">
    <w:name w:val="Normal"/>
    <w:qFormat/>
  </w:style>
  <w:style w:type="character" w:styleId="a0" w:default="1">
    <w:name w:val="Default Paragraph Font"/>
    <w:uiPriority w:val="1"/>
    <w:semiHidden/>
    <w:unhideWhenUsed/>
  </w:style>
  <w:style w:type="table" w:styleId="a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a2" w:default="1">
    <w:name w:val="No List"/>
    <w:uiPriority w:val="99"/>
    <w:semiHidden/>
    <w:unhideWhenUsed/>
  </w:style>
  <w:style w:type="table" w:styleId="a3">
    <w:name w:val="Table Grid"/>
    <w:basedOn w:val="a1"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a4">
    <w:name w:val="Balloon Text"/>
    <w:basedOn w:val="a"/>
    <w:link w:val="a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a5" w:customStyle="1">
    <w:name w:val="Текст выноски Знак"/>
    <w:basedOn w:val="a0"/>
    <w:link w:val="a4"/>
    <w:uiPriority w:val="99"/>
    <w:semiHidden/>
    <w:rPr>
      <w:rFonts w:ascii="Tahoma" w:hAnsi="Tahoma" w:cs="Tahoma"/>
      <w:sz w:val="16"/>
      <w:szCs w:val="16"/>
    </w:rPr>
  </w:style>
  <w:style w:type="paragraph" w:styleId="Default" w:customStyle="1">
    <w:name w:val="Default"/>
    <w:pPr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styleId="a7" w:customStyle="1">
    <w:name w:val="Верхний колонтитул Знак"/>
    <w:basedOn w:val="a0"/>
    <w:link w:val="a6"/>
    <w:uiPriority w:val="99"/>
  </w:style>
  <w:style w:type="paragraph" w:styleId="a8">
    <w:name w:val="footer"/>
    <w:basedOn w:val="a"/>
    <w:link w:val="a9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styleId="a9" w:customStyle="1">
    <w:name w:val="Нижний колонтитул Знак"/>
    <w:basedOn w:val="a0"/>
    <w:link w:val="a8"/>
    <w:uiPriority w:val="99"/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emf"/><Relationship Id="rId10" Type="http://schemas.openxmlformats.org/officeDocument/2006/relationships/image" Target="media/media1.svg"/><Relationship Id="rId11" Type="http://schemas.openxmlformats.org/officeDocument/2006/relationships/image" Target="media/image2.emf"/><Relationship Id="rId12" Type="http://schemas.openxmlformats.org/officeDocument/2006/relationships/image" Target="media/media2.svg"/><Relationship Id="rId13" Type="http://schemas.openxmlformats.org/officeDocument/2006/relationships/image" Target="media/image3.emf"/><Relationship Id="rId14" Type="http://schemas.openxmlformats.org/officeDocument/2006/relationships/image" Target="media/media3.svg"/><Relationship Id="rId15" Type="http://schemas.openxmlformats.org/officeDocument/2006/relationships/image" Target="media/image4.emf"/><Relationship Id="rId16" Type="http://schemas.openxmlformats.org/officeDocument/2006/relationships/image" Target="media/media4.sv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Liberation Sans"/>
        <a:cs typeface="Liberation Sans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Liberation Sans"/>
        <a:cs typeface="Liberation Sans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673214-4E46-4449-868D-E29879BF3F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Р7-Офис/2026.1.2.1942</Application>
  <Characters>1188</Characters>
  <CharactersWithSpaces>1394</CharactersWithSpaces>
  <Company/>
  <DocSecurity>0</DocSecurity>
  <HyperlinksChanged>false</HyperlinksChanged>
  <Lines>9</Lines>
  <LinksUpToDate>false</LinksUpToDate>
  <Pages>2</Pages>
  <Paragraphs>2</Paragraphs>
  <ScaleCrop>false</ScaleCrop>
  <SharedDoc>false</SharedDoc>
  <Template>Normal</Template>
  <TotalTime>344</TotalTime>
  <Words>208</Word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Загуменнова Наталия Александровна</dc:creator>
  <cp:keywords/>
  <dc:description/>
  <cp:lastModifiedBy>l.shytko</cp:lastModifiedBy>
  <cp:revision>58</cp:revision>
  <dcterms:created xsi:type="dcterms:W3CDTF">2020-07-07T09:48:00Z</dcterms:created>
  <dcterms:modified xsi:type="dcterms:W3CDTF">2026-05-08T06:01:00Z</dcterms:modified>
</cp:coreProperties>
</file>